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9FB3" w14:textId="77777777" w:rsidR="00545EB6" w:rsidRPr="00545EB6" w:rsidRDefault="00545EB6" w:rsidP="00545EB6">
      <w:pPr>
        <w:pStyle w:val="Default"/>
        <w:rPr>
          <w:rFonts w:ascii="Arial" w:hAnsi="Arial" w:cs="Arial"/>
        </w:rPr>
      </w:pPr>
      <w:r>
        <w:rPr>
          <w:rStyle w:val="subheading-category1"/>
          <w:rFonts w:cstheme="minorHAnsi"/>
          <w:b/>
          <w:caps w:val="0"/>
          <w:color w:val="2F5496" w:themeColor="accent5" w:themeShade="BF"/>
          <w:sz w:val="32"/>
          <w:szCs w:val="32"/>
        </w:rPr>
        <w:t xml:space="preserve">2. veřejná soutěž </w:t>
      </w:r>
      <w:r w:rsidR="00425430" w:rsidRPr="002043FB">
        <w:rPr>
          <w:rStyle w:val="subheading-category1"/>
          <w:rFonts w:cstheme="minorHAnsi"/>
          <w:b/>
          <w:caps w:val="0"/>
          <w:color w:val="2F5496" w:themeColor="accent5" w:themeShade="BF"/>
          <w:sz w:val="32"/>
          <w:szCs w:val="32"/>
        </w:rPr>
        <w:t>ve výzkumu, vývoji a inovacích v roce 202</w:t>
      </w:r>
      <w:r>
        <w:rPr>
          <w:rStyle w:val="subheading-category1"/>
          <w:rFonts w:cstheme="minorHAnsi"/>
          <w:b/>
          <w:caps w:val="0"/>
          <w:color w:val="2F5496" w:themeColor="accent5" w:themeShade="BF"/>
          <w:sz w:val="32"/>
          <w:szCs w:val="32"/>
        </w:rPr>
        <w:t xml:space="preserve">4 v programu ZEMĚ II, podprogram II </w:t>
      </w:r>
      <w:r w:rsidR="00827BC3">
        <w:rPr>
          <w:rStyle w:val="subheading-category1"/>
          <w:rFonts w:cstheme="minorHAnsi"/>
          <w:b/>
          <w:caps w:val="0"/>
          <w:color w:val="2F5496" w:themeColor="accent5" w:themeShade="BF"/>
          <w:sz w:val="32"/>
          <w:szCs w:val="32"/>
        </w:rPr>
        <w:t>Podpora státní politiky v agrárním sektoru ve výzkumu, vývoji a inovacích s počátkem řešení projektů v roce 2025</w:t>
      </w:r>
      <w:r w:rsidRPr="00545EB6"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  <w:t xml:space="preserve"> </w:t>
      </w:r>
    </w:p>
    <w:p w14:paraId="31E97E67" w14:textId="77777777" w:rsidR="00202044" w:rsidRPr="002043FB" w:rsidRDefault="0066254D" w:rsidP="002043FB">
      <w:pPr>
        <w:jc w:val="both"/>
        <w:rPr>
          <w:rStyle w:val="subheading-category1"/>
          <w:rFonts w:cstheme="minorHAnsi"/>
          <w:b/>
          <w:caps w:val="0"/>
          <w:color w:val="2F5496" w:themeColor="accent5" w:themeShade="BF"/>
          <w:sz w:val="32"/>
          <w:szCs w:val="32"/>
        </w:rPr>
      </w:pPr>
    </w:p>
    <w:p w14:paraId="65A3104E" w14:textId="77777777" w:rsidR="0057770F" w:rsidRPr="002043FB" w:rsidRDefault="0057770F" w:rsidP="002043FB">
      <w:pPr>
        <w:jc w:val="both"/>
        <w:rPr>
          <w:rFonts w:cstheme="minorHAnsi"/>
          <w:b/>
          <w:color w:val="1F4E79" w:themeColor="accent1" w:themeShade="80"/>
          <w:sz w:val="28"/>
          <w:szCs w:val="28"/>
        </w:rPr>
      </w:pPr>
      <w:r w:rsidRPr="002043FB">
        <w:rPr>
          <w:rFonts w:cstheme="minorHAnsi"/>
          <w:b/>
          <w:color w:val="1F4E79" w:themeColor="accent1" w:themeShade="80"/>
          <w:sz w:val="28"/>
          <w:szCs w:val="28"/>
        </w:rPr>
        <w:t>Důležité termíny:</w:t>
      </w:r>
    </w:p>
    <w:p w14:paraId="3BB566D7" w14:textId="77777777" w:rsidR="0057770F" w:rsidRPr="002043FB" w:rsidRDefault="0057770F" w:rsidP="002043FB">
      <w:pPr>
        <w:spacing w:line="240" w:lineRule="auto"/>
        <w:jc w:val="both"/>
        <w:rPr>
          <w:rFonts w:cstheme="minorHAnsi"/>
          <w:b/>
        </w:rPr>
      </w:pPr>
      <w:r w:rsidRPr="002043FB">
        <w:rPr>
          <w:rFonts w:cstheme="minorHAnsi"/>
        </w:rPr>
        <w:t xml:space="preserve">Soutěžní lhůta začíná: </w:t>
      </w:r>
      <w:r w:rsidR="00545EB6">
        <w:rPr>
          <w:rFonts w:cstheme="minorHAnsi"/>
          <w:b/>
        </w:rPr>
        <w:t>18</w:t>
      </w:r>
      <w:r w:rsidR="005F4E49" w:rsidRPr="002043FB">
        <w:rPr>
          <w:rFonts w:cstheme="minorHAnsi"/>
          <w:b/>
        </w:rPr>
        <w:t>.</w:t>
      </w:r>
      <w:r w:rsidR="00425430" w:rsidRPr="002043FB">
        <w:rPr>
          <w:rFonts w:cstheme="minorHAnsi"/>
          <w:b/>
        </w:rPr>
        <w:t xml:space="preserve"> </w:t>
      </w:r>
      <w:r w:rsidR="00545EB6">
        <w:rPr>
          <w:rFonts w:cstheme="minorHAnsi"/>
          <w:b/>
        </w:rPr>
        <w:t>4</w:t>
      </w:r>
      <w:r w:rsidR="005F4E49" w:rsidRPr="002043FB">
        <w:rPr>
          <w:rFonts w:cstheme="minorHAnsi"/>
          <w:b/>
        </w:rPr>
        <w:t>.</w:t>
      </w:r>
      <w:r w:rsidR="00425430" w:rsidRPr="002043FB">
        <w:rPr>
          <w:rFonts w:cstheme="minorHAnsi"/>
          <w:b/>
        </w:rPr>
        <w:t xml:space="preserve"> </w:t>
      </w:r>
      <w:r w:rsidR="005F4E49" w:rsidRPr="002043FB">
        <w:rPr>
          <w:rFonts w:cstheme="minorHAnsi"/>
          <w:b/>
        </w:rPr>
        <w:t>202</w:t>
      </w:r>
      <w:r w:rsidR="00545EB6">
        <w:rPr>
          <w:rFonts w:cstheme="minorHAnsi"/>
          <w:b/>
        </w:rPr>
        <w:t>4</w:t>
      </w:r>
    </w:p>
    <w:p w14:paraId="39370C2A" w14:textId="77777777" w:rsidR="0057770F" w:rsidRPr="002043FB" w:rsidRDefault="0057770F" w:rsidP="002043FB">
      <w:pPr>
        <w:spacing w:line="240" w:lineRule="auto"/>
        <w:jc w:val="both"/>
        <w:rPr>
          <w:rFonts w:cstheme="minorHAnsi"/>
        </w:rPr>
      </w:pPr>
      <w:r w:rsidRPr="002043FB">
        <w:rPr>
          <w:rFonts w:cstheme="minorHAnsi"/>
        </w:rPr>
        <w:t xml:space="preserve">Soutěžní lhůta končí: </w:t>
      </w:r>
      <w:r w:rsidR="00545EB6">
        <w:rPr>
          <w:rFonts w:cstheme="minorHAnsi"/>
          <w:b/>
        </w:rPr>
        <w:t>5</w:t>
      </w:r>
      <w:r w:rsidR="005F4E49" w:rsidRPr="002043FB">
        <w:rPr>
          <w:rFonts w:cstheme="minorHAnsi"/>
          <w:b/>
        </w:rPr>
        <w:t xml:space="preserve">. </w:t>
      </w:r>
      <w:r w:rsidR="00545EB6">
        <w:rPr>
          <w:rFonts w:cstheme="minorHAnsi"/>
          <w:b/>
        </w:rPr>
        <w:t>6</w:t>
      </w:r>
      <w:r w:rsidR="005F4E49" w:rsidRPr="002043FB">
        <w:rPr>
          <w:rFonts w:cstheme="minorHAnsi"/>
          <w:b/>
        </w:rPr>
        <w:t>. 202</w:t>
      </w:r>
      <w:r w:rsidR="00545EB6">
        <w:rPr>
          <w:rFonts w:cstheme="minorHAnsi"/>
          <w:b/>
        </w:rPr>
        <w:t>4</w:t>
      </w:r>
      <w:r w:rsidRPr="002043FB">
        <w:rPr>
          <w:rFonts w:cstheme="minorHAnsi"/>
        </w:rPr>
        <w:t xml:space="preserve"> do 1</w:t>
      </w:r>
      <w:r w:rsidR="00CC39C8" w:rsidRPr="002043FB">
        <w:rPr>
          <w:rFonts w:cstheme="minorHAnsi"/>
        </w:rPr>
        <w:t>6</w:t>
      </w:r>
      <w:r w:rsidR="002673D7">
        <w:rPr>
          <w:rFonts w:cstheme="minorHAnsi"/>
        </w:rPr>
        <w:t>:29:59</w:t>
      </w:r>
      <w:r w:rsidRPr="002043FB">
        <w:rPr>
          <w:rFonts w:cstheme="minorHAnsi"/>
        </w:rPr>
        <w:t xml:space="preserve"> pro podání projektu</w:t>
      </w:r>
      <w:r w:rsidR="004773F0">
        <w:rPr>
          <w:rFonts w:cstheme="minorHAnsi"/>
        </w:rPr>
        <w:t xml:space="preserve"> v ISTA</w:t>
      </w:r>
      <w:r w:rsidRPr="002043FB">
        <w:rPr>
          <w:rFonts w:cstheme="minorHAnsi"/>
        </w:rPr>
        <w:t xml:space="preserve">; </w:t>
      </w:r>
    </w:p>
    <w:p w14:paraId="0FDA7ABB" w14:textId="77777777" w:rsidR="0057770F" w:rsidRPr="002043FB" w:rsidRDefault="0057770F" w:rsidP="002043FB">
      <w:pPr>
        <w:spacing w:line="240" w:lineRule="auto"/>
        <w:ind w:left="2937"/>
        <w:jc w:val="both"/>
        <w:rPr>
          <w:rFonts w:cstheme="minorHAnsi"/>
        </w:rPr>
      </w:pPr>
      <w:r w:rsidRPr="002043FB">
        <w:rPr>
          <w:rFonts w:cstheme="minorHAnsi"/>
        </w:rPr>
        <w:t>do 23</w:t>
      </w:r>
      <w:r w:rsidR="005B50C1">
        <w:rPr>
          <w:rFonts w:cstheme="minorHAnsi"/>
        </w:rPr>
        <w:t>:</w:t>
      </w:r>
      <w:r w:rsidRPr="002043FB">
        <w:rPr>
          <w:rFonts w:cstheme="minorHAnsi"/>
        </w:rPr>
        <w:t>59</w:t>
      </w:r>
      <w:r w:rsidR="005B50C1">
        <w:rPr>
          <w:rFonts w:cstheme="minorHAnsi"/>
        </w:rPr>
        <w:t>:59</w:t>
      </w:r>
      <w:r w:rsidRPr="002043FB">
        <w:rPr>
          <w:rFonts w:cstheme="minorHAnsi"/>
        </w:rPr>
        <w:t xml:space="preserve"> pro zaslání Potvrzení podání elektronického návrhu a    potvrzení způsobilosti uchazeče</w:t>
      </w:r>
    </w:p>
    <w:p w14:paraId="4BA318BF" w14:textId="77777777" w:rsidR="00894BEB" w:rsidRPr="002043FB" w:rsidRDefault="00894BEB" w:rsidP="002043FB">
      <w:pPr>
        <w:spacing w:line="240" w:lineRule="auto"/>
        <w:jc w:val="both"/>
        <w:rPr>
          <w:rFonts w:cstheme="minorHAnsi"/>
          <w:b/>
        </w:rPr>
      </w:pPr>
      <w:r w:rsidRPr="002043FB">
        <w:rPr>
          <w:rFonts w:cstheme="minorHAnsi"/>
        </w:rPr>
        <w:t>Vyhlášení výsledků soutěže:</w:t>
      </w:r>
      <w:r w:rsidRPr="002043FB">
        <w:rPr>
          <w:rFonts w:cstheme="minorHAnsi"/>
          <w:b/>
        </w:rPr>
        <w:t xml:space="preserve"> do </w:t>
      </w:r>
      <w:r w:rsidR="00545EB6">
        <w:rPr>
          <w:rFonts w:cstheme="minorHAnsi"/>
          <w:b/>
        </w:rPr>
        <w:t>6</w:t>
      </w:r>
      <w:r w:rsidR="00AF3498" w:rsidRPr="002043FB">
        <w:rPr>
          <w:rFonts w:cstheme="minorHAnsi"/>
          <w:b/>
        </w:rPr>
        <w:t>. 1</w:t>
      </w:r>
      <w:r w:rsidR="00545EB6">
        <w:rPr>
          <w:rFonts w:cstheme="minorHAnsi"/>
          <w:b/>
        </w:rPr>
        <w:t>2</w:t>
      </w:r>
      <w:r w:rsidR="00AF3498" w:rsidRPr="002043FB">
        <w:rPr>
          <w:rFonts w:cstheme="minorHAnsi"/>
          <w:b/>
        </w:rPr>
        <w:t>. 202</w:t>
      </w:r>
      <w:r w:rsidR="00545EB6">
        <w:rPr>
          <w:rFonts w:cstheme="minorHAnsi"/>
          <w:b/>
        </w:rPr>
        <w:t>4</w:t>
      </w:r>
    </w:p>
    <w:p w14:paraId="4AF935CC" w14:textId="77777777" w:rsidR="00894BEB" w:rsidRPr="002043FB" w:rsidRDefault="00894BEB" w:rsidP="002043FB">
      <w:pPr>
        <w:spacing w:line="240" w:lineRule="auto"/>
        <w:jc w:val="both"/>
        <w:rPr>
          <w:rFonts w:cstheme="minorHAnsi"/>
          <w:b/>
        </w:rPr>
      </w:pPr>
      <w:r w:rsidRPr="002043FB">
        <w:rPr>
          <w:rFonts w:cstheme="minorHAnsi"/>
        </w:rPr>
        <w:t>Zahájení řešení projektu:</w:t>
      </w:r>
      <w:r w:rsidRPr="002043FB">
        <w:rPr>
          <w:rFonts w:cstheme="minorHAnsi"/>
          <w:b/>
        </w:rPr>
        <w:t xml:space="preserve"> </w:t>
      </w:r>
      <w:r w:rsidR="00AF3498" w:rsidRPr="002043FB">
        <w:rPr>
          <w:rFonts w:cstheme="minorHAnsi"/>
          <w:b/>
        </w:rPr>
        <w:t>1. 1. 202</w:t>
      </w:r>
      <w:r w:rsidR="00545EB6">
        <w:rPr>
          <w:rFonts w:cstheme="minorHAnsi"/>
          <w:b/>
        </w:rPr>
        <w:t>5</w:t>
      </w:r>
      <w:r w:rsidR="00AF3498" w:rsidRPr="002043FB">
        <w:rPr>
          <w:rFonts w:cstheme="minorHAnsi"/>
          <w:b/>
        </w:rPr>
        <w:t xml:space="preserve"> – </w:t>
      </w:r>
      <w:r w:rsidR="009D390A" w:rsidRPr="002043FB">
        <w:rPr>
          <w:rFonts w:cstheme="minorHAnsi"/>
          <w:b/>
        </w:rPr>
        <w:t>31</w:t>
      </w:r>
      <w:r w:rsidR="00AF3498" w:rsidRPr="002043FB">
        <w:rPr>
          <w:rFonts w:cstheme="minorHAnsi"/>
          <w:b/>
        </w:rPr>
        <w:t xml:space="preserve">. </w:t>
      </w:r>
      <w:r w:rsidR="009D390A" w:rsidRPr="002043FB">
        <w:rPr>
          <w:rFonts w:cstheme="minorHAnsi"/>
          <w:b/>
        </w:rPr>
        <w:t>3</w:t>
      </w:r>
      <w:r w:rsidR="00AF3498" w:rsidRPr="002043FB">
        <w:rPr>
          <w:rFonts w:cstheme="minorHAnsi"/>
          <w:b/>
        </w:rPr>
        <w:t>. 202</w:t>
      </w:r>
      <w:r w:rsidR="00545EB6">
        <w:rPr>
          <w:rFonts w:cstheme="minorHAnsi"/>
          <w:b/>
        </w:rPr>
        <w:t>6</w:t>
      </w:r>
    </w:p>
    <w:p w14:paraId="5591A7DA" w14:textId="77777777" w:rsidR="00483113" w:rsidRDefault="00894BEB" w:rsidP="002043FB">
      <w:pPr>
        <w:spacing w:line="240" w:lineRule="auto"/>
        <w:jc w:val="both"/>
        <w:rPr>
          <w:rFonts w:cstheme="minorHAnsi"/>
        </w:rPr>
      </w:pPr>
      <w:r w:rsidRPr="002043FB">
        <w:rPr>
          <w:rFonts w:cstheme="minorHAnsi"/>
        </w:rPr>
        <w:t>Délka řešení projektu:</w:t>
      </w:r>
      <w:r w:rsidRPr="002043FB">
        <w:rPr>
          <w:rFonts w:cstheme="minorHAnsi"/>
          <w:b/>
        </w:rPr>
        <w:t xml:space="preserve"> </w:t>
      </w:r>
      <w:proofErr w:type="gramStart"/>
      <w:r w:rsidR="005B50C1">
        <w:rPr>
          <w:rFonts w:cstheme="minorHAnsi"/>
          <w:b/>
        </w:rPr>
        <w:t>24</w:t>
      </w:r>
      <w:r w:rsidRPr="002043FB">
        <w:rPr>
          <w:rFonts w:cstheme="minorHAnsi"/>
          <w:b/>
        </w:rPr>
        <w:t xml:space="preserve"> –</w:t>
      </w:r>
      <w:r w:rsidR="007E266C" w:rsidRPr="002043FB">
        <w:rPr>
          <w:rFonts w:cstheme="minorHAnsi"/>
          <w:b/>
        </w:rPr>
        <w:t xml:space="preserve"> </w:t>
      </w:r>
      <w:r w:rsidR="002673D7">
        <w:rPr>
          <w:rFonts w:cstheme="minorHAnsi"/>
          <w:b/>
        </w:rPr>
        <w:t>36</w:t>
      </w:r>
      <w:proofErr w:type="gramEnd"/>
      <w:r w:rsidRPr="002043FB">
        <w:rPr>
          <w:rFonts w:cstheme="minorHAnsi"/>
          <w:b/>
        </w:rPr>
        <w:t xml:space="preserve"> měsíců</w:t>
      </w:r>
      <w:r w:rsidR="007E266C" w:rsidRPr="002043FB">
        <w:rPr>
          <w:rFonts w:cstheme="minorHAnsi"/>
          <w:b/>
        </w:rPr>
        <w:t xml:space="preserve"> </w:t>
      </w:r>
      <w:r w:rsidR="002673D7">
        <w:rPr>
          <w:rFonts w:cstheme="minorHAnsi"/>
        </w:rPr>
        <w:t xml:space="preserve">(nejdéle do 31. </w:t>
      </w:r>
      <w:r w:rsidR="00545EB6">
        <w:rPr>
          <w:rFonts w:cstheme="minorHAnsi"/>
        </w:rPr>
        <w:t>12. 2027</w:t>
      </w:r>
      <w:r w:rsidR="002673D7">
        <w:rPr>
          <w:rFonts w:cstheme="minorHAnsi"/>
        </w:rPr>
        <w:t>)</w:t>
      </w:r>
    </w:p>
    <w:p w14:paraId="4FE140BE" w14:textId="77777777" w:rsidR="00545EB6" w:rsidRDefault="00545EB6" w:rsidP="002043FB">
      <w:pPr>
        <w:spacing w:line="240" w:lineRule="auto"/>
        <w:jc w:val="both"/>
        <w:rPr>
          <w:rFonts w:cstheme="minorHAnsi"/>
        </w:rPr>
      </w:pPr>
    </w:p>
    <w:p w14:paraId="0F7D9E1B" w14:textId="77777777" w:rsidR="005E71F4" w:rsidRDefault="005E71F4" w:rsidP="006B31B9">
      <w:pPr>
        <w:spacing w:after="0" w:line="360" w:lineRule="auto"/>
        <w:jc w:val="both"/>
        <w:rPr>
          <w:rFonts w:cstheme="minorHAnsi"/>
          <w:b/>
        </w:rPr>
      </w:pPr>
      <w:r w:rsidRPr="002043FB">
        <w:rPr>
          <w:rFonts w:cstheme="minorHAnsi"/>
          <w:b/>
        </w:rPr>
        <w:t xml:space="preserve">Soutěž </w:t>
      </w:r>
      <w:r w:rsidR="00425430" w:rsidRPr="002043FB">
        <w:rPr>
          <w:rFonts w:cstheme="minorHAnsi"/>
          <w:b/>
        </w:rPr>
        <w:t>programu Země</w:t>
      </w:r>
      <w:r w:rsidR="006B31B9">
        <w:rPr>
          <w:rFonts w:cstheme="minorHAnsi"/>
          <w:b/>
        </w:rPr>
        <w:t xml:space="preserve"> II</w:t>
      </w:r>
      <w:r w:rsidR="00425430" w:rsidRPr="002043FB">
        <w:rPr>
          <w:rFonts w:cstheme="minorHAnsi"/>
          <w:b/>
        </w:rPr>
        <w:t xml:space="preserve"> </w:t>
      </w:r>
      <w:r w:rsidR="006B31B9">
        <w:rPr>
          <w:rFonts w:cstheme="minorHAnsi"/>
          <w:b/>
        </w:rPr>
        <w:t>na</w:t>
      </w:r>
      <w:r w:rsidRPr="002043FB">
        <w:rPr>
          <w:rFonts w:cstheme="minorHAnsi"/>
          <w:b/>
        </w:rPr>
        <w:t xml:space="preserve"> VUT Brno – </w:t>
      </w:r>
      <w:r w:rsidR="00545EB6">
        <w:rPr>
          <w:rFonts w:cstheme="minorHAnsi"/>
          <w:b/>
        </w:rPr>
        <w:t>Ing. Veronika Pilcerová</w:t>
      </w:r>
      <w:r w:rsidRPr="002043FB">
        <w:rPr>
          <w:rFonts w:cstheme="minorHAnsi"/>
          <w:b/>
        </w:rPr>
        <w:t xml:space="preserve"> (</w:t>
      </w:r>
      <w:hyperlink r:id="rId5" w:history="1">
        <w:r w:rsidR="00545EB6" w:rsidRPr="007E6DDE">
          <w:rPr>
            <w:rStyle w:val="Hypertextovodkaz"/>
            <w:rFonts w:cstheme="minorHAnsi"/>
            <w:b/>
          </w:rPr>
          <w:t>pilcerova@vutbr.cz</w:t>
        </w:r>
      </w:hyperlink>
      <w:r w:rsidRPr="002043FB">
        <w:rPr>
          <w:rFonts w:cstheme="minorHAnsi"/>
          <w:b/>
        </w:rPr>
        <w:t xml:space="preserve">, kl. </w:t>
      </w:r>
      <w:r w:rsidR="00545EB6">
        <w:rPr>
          <w:rFonts w:cstheme="minorHAnsi"/>
          <w:b/>
        </w:rPr>
        <w:t>5</w:t>
      </w:r>
      <w:r w:rsidRPr="002043FB">
        <w:rPr>
          <w:rFonts w:cstheme="minorHAnsi"/>
          <w:b/>
        </w:rPr>
        <w:t>237)</w:t>
      </w:r>
    </w:p>
    <w:p w14:paraId="6127268E" w14:textId="77777777" w:rsidR="006B31B9" w:rsidRDefault="006B31B9" w:rsidP="006B31B9">
      <w:pPr>
        <w:spacing w:after="0" w:line="360" w:lineRule="auto"/>
        <w:rPr>
          <w:b/>
        </w:rPr>
      </w:pPr>
      <w:r>
        <w:rPr>
          <w:b/>
        </w:rPr>
        <w:t>Duševní vlastnictví, konzultace smlouvy mezi uchazeči – OP – Mgr. Michaela Daňková (</w:t>
      </w:r>
      <w:hyperlink r:id="rId6" w:history="1">
        <w:r w:rsidRPr="00626B61">
          <w:rPr>
            <w:rStyle w:val="Hypertextovodkaz"/>
            <w:b/>
          </w:rPr>
          <w:t>dankovam@vutbr.cz</w:t>
        </w:r>
      </w:hyperlink>
      <w:r>
        <w:rPr>
          <w:b/>
        </w:rPr>
        <w:t>, kl. 4228)</w:t>
      </w:r>
    </w:p>
    <w:p w14:paraId="35FF10FE" w14:textId="77777777" w:rsidR="006B31B9" w:rsidRDefault="006B31B9" w:rsidP="006B31B9">
      <w:pPr>
        <w:spacing w:after="0" w:line="360" w:lineRule="auto"/>
        <w:jc w:val="both"/>
        <w:rPr>
          <w:b/>
        </w:rPr>
      </w:pPr>
      <w:r>
        <w:rPr>
          <w:b/>
        </w:rPr>
        <w:t xml:space="preserve">Proces průběhu ochrany duševního vlastnictví – OTZ - Ing. Jana Ondroušková, </w:t>
      </w:r>
      <w:proofErr w:type="spellStart"/>
      <w:r>
        <w:rPr>
          <w:b/>
        </w:rPr>
        <w:t>Ph.d.</w:t>
      </w:r>
      <w:proofErr w:type="spellEnd"/>
      <w:r>
        <w:rPr>
          <w:b/>
        </w:rPr>
        <w:t xml:space="preserve"> </w:t>
      </w:r>
      <w:hyperlink r:id="rId7" w:history="1">
        <w:r w:rsidRPr="00880B29">
          <w:rPr>
            <w:rStyle w:val="Hypertextovodkaz"/>
            <w:b/>
          </w:rPr>
          <w:t>jana.ondrouskova@vutbr.cz</w:t>
        </w:r>
      </w:hyperlink>
      <w:r>
        <w:rPr>
          <w:b/>
        </w:rPr>
        <w:t xml:space="preserve"> , kl. 4224)</w:t>
      </w:r>
    </w:p>
    <w:p w14:paraId="153BC056" w14:textId="77777777" w:rsidR="006B31B9" w:rsidRDefault="006B31B9" w:rsidP="006B31B9">
      <w:pPr>
        <w:spacing w:after="0" w:line="360" w:lineRule="auto"/>
        <w:rPr>
          <w:b/>
        </w:rPr>
      </w:pPr>
      <w:r>
        <w:rPr>
          <w:b/>
        </w:rPr>
        <w:t>Otázka DPH v projektech TAČR – Ing. Romana Sasková (</w:t>
      </w:r>
      <w:hyperlink r:id="rId8" w:history="1">
        <w:r w:rsidRPr="00882517">
          <w:rPr>
            <w:rStyle w:val="Hypertextovodkaz"/>
            <w:b/>
          </w:rPr>
          <w:t>saskova@vutbr.cz</w:t>
        </w:r>
      </w:hyperlink>
      <w:r>
        <w:rPr>
          <w:b/>
        </w:rPr>
        <w:t>, kl. 5356)</w:t>
      </w:r>
    </w:p>
    <w:p w14:paraId="304E5179" w14:textId="77777777" w:rsidR="006B31B9" w:rsidRDefault="006B31B9" w:rsidP="006B31B9">
      <w:pPr>
        <w:spacing w:after="0" w:line="360" w:lineRule="auto"/>
        <w:jc w:val="both"/>
        <w:rPr>
          <w:rFonts w:cstheme="minorHAnsi"/>
          <w:b/>
        </w:rPr>
      </w:pPr>
    </w:p>
    <w:p w14:paraId="47986B91" w14:textId="77777777" w:rsidR="005E71F4" w:rsidRPr="002043FB" w:rsidRDefault="005E71F4" w:rsidP="006B31B9">
      <w:pPr>
        <w:spacing w:after="0" w:line="360" w:lineRule="auto"/>
        <w:jc w:val="both"/>
        <w:rPr>
          <w:rFonts w:cstheme="minorHAnsi"/>
          <w:b/>
        </w:rPr>
      </w:pPr>
      <w:r w:rsidRPr="002043FB">
        <w:rPr>
          <w:rFonts w:cstheme="minorHAnsi"/>
          <w:b/>
        </w:rPr>
        <w:t xml:space="preserve">Zadání do APOLLA pod programem financování: </w:t>
      </w:r>
      <w:r w:rsidR="002043FB" w:rsidRPr="002043FB">
        <w:rPr>
          <w:rFonts w:cstheme="minorHAnsi"/>
          <w:b/>
        </w:rPr>
        <w:t>Q</w:t>
      </w:r>
      <w:r w:rsidR="00545EB6">
        <w:rPr>
          <w:rFonts w:cstheme="minorHAnsi"/>
          <w:b/>
        </w:rPr>
        <w:t>L</w:t>
      </w:r>
    </w:p>
    <w:p w14:paraId="3D6386FF" w14:textId="77777777" w:rsidR="00545EB6" w:rsidRPr="00545EB6" w:rsidRDefault="00545EB6" w:rsidP="00545EB6">
      <w:pPr>
        <w:spacing w:line="240" w:lineRule="auto"/>
        <w:jc w:val="both"/>
        <w:rPr>
          <w:rFonts w:cstheme="minorHAnsi"/>
        </w:rPr>
      </w:pPr>
    </w:p>
    <w:p w14:paraId="2E3EBF00" w14:textId="77777777" w:rsidR="0057770F" w:rsidRDefault="0057770F" w:rsidP="002043FB">
      <w:pPr>
        <w:jc w:val="both"/>
        <w:rPr>
          <w:rFonts w:cstheme="minorHAnsi"/>
          <w:b/>
          <w:color w:val="1F4E79" w:themeColor="accent1" w:themeShade="80"/>
          <w:sz w:val="28"/>
          <w:szCs w:val="28"/>
        </w:rPr>
      </w:pPr>
      <w:r w:rsidRPr="002043FB">
        <w:rPr>
          <w:rFonts w:cstheme="minorHAnsi"/>
          <w:b/>
          <w:color w:val="1F4E79" w:themeColor="accent1" w:themeShade="80"/>
          <w:sz w:val="28"/>
          <w:szCs w:val="28"/>
        </w:rPr>
        <w:t>Uchazeči:</w:t>
      </w:r>
    </w:p>
    <w:p w14:paraId="38323F16" w14:textId="77777777" w:rsidR="00545EB6" w:rsidRPr="00545EB6" w:rsidRDefault="00545EB6" w:rsidP="00545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AAB11E5" w14:textId="77777777" w:rsidR="00545EB6" w:rsidRDefault="00545EB6" w:rsidP="00545EB6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</w:pPr>
      <w:r w:rsidRPr="00545EB6">
        <w:t xml:space="preserve">výzkumná organizace – právnická osoba, která splňuje podmínky definice výzkumné organizace podle čl. 2 odst. 83 GBER a Rámce; </w:t>
      </w:r>
    </w:p>
    <w:p w14:paraId="0FDA7568" w14:textId="77777777" w:rsidR="00545EB6" w:rsidRDefault="00545EB6" w:rsidP="00545EB6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</w:pPr>
      <w:r w:rsidRPr="00545EB6">
        <w:t xml:space="preserve">právnická i fyzická osoba, která vykonává hospodářskou činnost, prokáže schopnost projekt spolufinancovat z neveřejných zdrojů a splňuje podmínky čl. 1 přílohy 1 GBER a Rámce; </w:t>
      </w:r>
    </w:p>
    <w:p w14:paraId="4AD6C9F5" w14:textId="77777777" w:rsidR="00545EB6" w:rsidRDefault="00545EB6" w:rsidP="00545EB6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</w:pPr>
      <w:r w:rsidRPr="00545EB6">
        <w:t xml:space="preserve">organizační složka státu, nebo organizační jednotka ministerstva a jimi zřízené příspěvkové organizace zabývající se výzkumem a vývojem; </w:t>
      </w:r>
    </w:p>
    <w:p w14:paraId="2D0E982B" w14:textId="77777777" w:rsidR="00827BC3" w:rsidRPr="00827BC3" w:rsidRDefault="00827BC3" w:rsidP="00827BC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14:paraId="23F06D22" w14:textId="77777777" w:rsidR="00827BC3" w:rsidRPr="00827BC3" w:rsidRDefault="00827BC3" w:rsidP="00827BC3">
      <w:pPr>
        <w:spacing w:line="240" w:lineRule="auto"/>
        <w:jc w:val="both"/>
        <w:rPr>
          <w:rFonts w:cstheme="minorHAnsi"/>
        </w:rPr>
      </w:pPr>
      <w:r w:rsidRPr="00827BC3">
        <w:rPr>
          <w:rFonts w:cstheme="minorHAnsi"/>
        </w:rPr>
        <w:t xml:space="preserve">V Podprogramu II může být </w:t>
      </w:r>
      <w:r w:rsidRPr="00827BC3">
        <w:rPr>
          <w:rFonts w:cstheme="minorHAnsi"/>
          <w:b/>
        </w:rPr>
        <w:t>v roli hlavního uchazeče/příjemce pouze výzkumná organizace</w:t>
      </w:r>
      <w:r w:rsidRPr="00827BC3">
        <w:rPr>
          <w:rFonts w:cstheme="minorHAnsi"/>
        </w:rPr>
        <w:t xml:space="preserve">, v roli dalšího účastníka projektu mohou být jiné výzkumné organizace a/nebo podniky. </w:t>
      </w:r>
    </w:p>
    <w:p w14:paraId="59977E14" w14:textId="77777777" w:rsidR="00827BC3" w:rsidRDefault="00827BC3" w:rsidP="002043FB">
      <w:pPr>
        <w:jc w:val="both"/>
        <w:rPr>
          <w:rFonts w:cstheme="minorHAnsi"/>
          <w:b/>
          <w:color w:val="1F4E79" w:themeColor="accent1" w:themeShade="80"/>
          <w:szCs w:val="28"/>
        </w:rPr>
      </w:pPr>
    </w:p>
    <w:p w14:paraId="23CC9F1B" w14:textId="77777777" w:rsidR="006B31B9" w:rsidRPr="0094431F" w:rsidRDefault="006B31B9" w:rsidP="002043FB">
      <w:pPr>
        <w:jc w:val="both"/>
        <w:rPr>
          <w:rFonts w:cstheme="minorHAnsi"/>
          <w:b/>
          <w:color w:val="1F4E79" w:themeColor="accent1" w:themeShade="80"/>
          <w:szCs w:val="28"/>
        </w:rPr>
      </w:pPr>
    </w:p>
    <w:p w14:paraId="7C00A07A" w14:textId="77777777" w:rsidR="00AF3498" w:rsidRPr="006147C0" w:rsidRDefault="00AF3498" w:rsidP="002043FB">
      <w:pPr>
        <w:jc w:val="both"/>
        <w:rPr>
          <w:rFonts w:cstheme="minorHAnsi"/>
          <w:b/>
          <w:color w:val="1F4E79" w:themeColor="accent1" w:themeShade="80"/>
          <w:sz w:val="28"/>
          <w:szCs w:val="28"/>
        </w:rPr>
      </w:pPr>
      <w:r w:rsidRPr="006147C0">
        <w:rPr>
          <w:rFonts w:cstheme="minorHAnsi"/>
          <w:b/>
          <w:color w:val="1F4E79" w:themeColor="accent1" w:themeShade="80"/>
          <w:sz w:val="28"/>
          <w:szCs w:val="28"/>
        </w:rPr>
        <w:lastRenderedPageBreak/>
        <w:t>Zaměření soutěže:</w:t>
      </w:r>
    </w:p>
    <w:p w14:paraId="3F196813" w14:textId="77777777" w:rsidR="00DC372A" w:rsidRPr="002965F7" w:rsidRDefault="00270D1F" w:rsidP="002043FB">
      <w:pPr>
        <w:jc w:val="both"/>
        <w:rPr>
          <w:rFonts w:cstheme="minorHAnsi"/>
          <w:b/>
        </w:rPr>
      </w:pPr>
      <w:r w:rsidRPr="002965F7">
        <w:rPr>
          <w:rFonts w:cstheme="minorHAnsi"/>
          <w:b/>
        </w:rPr>
        <w:t>PODPROGRAM II – PODPORA STÁTNÍ POLITIKY V AGRÁRNÍM SEKTORU</w:t>
      </w:r>
    </w:p>
    <w:p w14:paraId="4CBA6F34" w14:textId="77777777" w:rsidR="002965F7" w:rsidRPr="002965F7" w:rsidRDefault="002965F7" w:rsidP="002965F7">
      <w:pPr>
        <w:spacing w:line="240" w:lineRule="auto"/>
        <w:jc w:val="both"/>
        <w:rPr>
          <w:rFonts w:cstheme="minorHAnsi"/>
          <w:b/>
        </w:rPr>
      </w:pPr>
      <w:r w:rsidRPr="002965F7">
        <w:rPr>
          <w:rFonts w:cstheme="minorHAnsi"/>
          <w:b/>
        </w:rPr>
        <w:t xml:space="preserve">Pro klíčovou oblast </w:t>
      </w:r>
      <w:proofErr w:type="spellStart"/>
      <w:r w:rsidRPr="002965F7">
        <w:rPr>
          <w:rFonts w:cstheme="minorHAnsi"/>
          <w:b/>
        </w:rPr>
        <w:t>Bioekonomika</w:t>
      </w:r>
      <w:proofErr w:type="spellEnd"/>
      <w:r w:rsidRPr="002965F7">
        <w:rPr>
          <w:rFonts w:cstheme="minorHAnsi"/>
          <w:b/>
        </w:rPr>
        <w:t xml:space="preserve"> jsou stanovena témata:</w:t>
      </w:r>
    </w:p>
    <w:p w14:paraId="2748F09D" w14:textId="77777777" w:rsidR="002965F7" w:rsidRPr="002965F7" w:rsidRDefault="002965F7" w:rsidP="002965F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</w:pPr>
      <w:r w:rsidRPr="002965F7">
        <w:t>Vyvinutí a zavedení metodiky na testování a hodnocení úrovně rezistence / tolerance odrůd cukrové řepy k virovým žloutenkám</w:t>
      </w:r>
    </w:p>
    <w:p w14:paraId="34437EE4" w14:textId="77777777" w:rsidR="002965F7" w:rsidRPr="002965F7" w:rsidRDefault="002965F7" w:rsidP="002965F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</w:pPr>
      <w:r w:rsidRPr="002965F7">
        <w:t xml:space="preserve">Vyhodnocení účinnosti nastavení zaměřené na neprodukční plochy základní a prémiové </w:t>
      </w:r>
      <w:proofErr w:type="spellStart"/>
      <w:r w:rsidRPr="002965F7">
        <w:t>celofaremní</w:t>
      </w:r>
      <w:proofErr w:type="spellEnd"/>
      <w:r w:rsidRPr="002965F7">
        <w:t xml:space="preserve"> </w:t>
      </w:r>
      <w:proofErr w:type="spellStart"/>
      <w:r w:rsidRPr="002965F7">
        <w:t>ekoplatby</w:t>
      </w:r>
      <w:proofErr w:type="spellEnd"/>
      <w:r w:rsidRPr="002965F7">
        <w:t xml:space="preserve"> a vyhodnocení dopadů opatření rotace plodiny, omezení plochy jedné plodiny diversifikace na zemědělskou krajinu, půdu a hospodaření zemědělských podniků v rámci nastavení podmínek DZES </w:t>
      </w:r>
      <w:proofErr w:type="spellStart"/>
      <w:r w:rsidRPr="002965F7">
        <w:t>ekoschémat</w:t>
      </w:r>
      <w:proofErr w:type="spellEnd"/>
      <w:r w:rsidRPr="002965F7">
        <w:t xml:space="preserve"> pro podporu udržitelného hospodaření v České republice</w:t>
      </w:r>
    </w:p>
    <w:p w14:paraId="1C67D216" w14:textId="77777777" w:rsidR="002965F7" w:rsidRDefault="002965F7" w:rsidP="002965F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</w:pPr>
      <w:r w:rsidRPr="002965F7">
        <w:t>Uplatnění místní produkce a propojování lokálních producentů a odběratelů</w:t>
      </w:r>
    </w:p>
    <w:p w14:paraId="55F366FD" w14:textId="77777777" w:rsidR="002965F7" w:rsidRPr="002965F7" w:rsidRDefault="002965F7" w:rsidP="002965F7">
      <w:pPr>
        <w:pStyle w:val="Odstavecseseznamem"/>
        <w:autoSpaceDE w:val="0"/>
        <w:autoSpaceDN w:val="0"/>
        <w:adjustRightInd w:val="0"/>
        <w:spacing w:after="0" w:line="240" w:lineRule="auto"/>
        <w:jc w:val="both"/>
      </w:pPr>
    </w:p>
    <w:p w14:paraId="75C2DF4F" w14:textId="77777777" w:rsidR="002965F7" w:rsidRPr="002965F7" w:rsidRDefault="002965F7" w:rsidP="002965F7">
      <w:pPr>
        <w:spacing w:line="240" w:lineRule="auto"/>
        <w:jc w:val="both"/>
        <w:rPr>
          <w:rFonts w:cstheme="minorHAnsi"/>
          <w:b/>
        </w:rPr>
      </w:pPr>
      <w:r w:rsidRPr="002965F7">
        <w:rPr>
          <w:rFonts w:cstheme="minorHAnsi"/>
          <w:b/>
        </w:rPr>
        <w:t>Pro klíčovou oblast Smart zemědělství jsou stanovena témata:</w:t>
      </w:r>
    </w:p>
    <w:p w14:paraId="4FFDCD03" w14:textId="77777777" w:rsidR="002965F7" w:rsidRPr="002965F7" w:rsidRDefault="002965F7" w:rsidP="002965F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</w:pPr>
      <w:r w:rsidRPr="002965F7">
        <w:t>Optimalizace spotřeby POR spojená s využitím technologického řešení pracujícího s diferenciací porostu a vegetačních podmínek v rámci DPB</w:t>
      </w:r>
    </w:p>
    <w:p w14:paraId="56AEDAE8" w14:textId="77777777" w:rsidR="002965F7" w:rsidRPr="002965F7" w:rsidRDefault="002965F7" w:rsidP="002965F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</w:pPr>
      <w:r w:rsidRPr="002965F7">
        <w:t>Snižování agrese u výkrmových selat s nekrácenými ocasy ve všech systémech chovu</w:t>
      </w:r>
    </w:p>
    <w:p w14:paraId="0D10E8ED" w14:textId="77777777" w:rsidR="002965F7" w:rsidRPr="002965F7" w:rsidRDefault="002965F7" w:rsidP="002965F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</w:pPr>
      <w:r w:rsidRPr="002965F7">
        <w:t xml:space="preserve">Systémy integrace, zpracování, třídění a využití dat k užití na lokální i centrální úrovni, modernizaci kontroly mléčné užitkovosti, zlepšení </w:t>
      </w:r>
      <w:proofErr w:type="spellStart"/>
      <w:r w:rsidRPr="002965F7">
        <w:t>welfare</w:t>
      </w:r>
      <w:proofErr w:type="spellEnd"/>
      <w:r w:rsidRPr="002965F7">
        <w:t xml:space="preserve"> a kvality produkce v chovech hospodářských zvířat</w:t>
      </w:r>
    </w:p>
    <w:p w14:paraId="5CC47C20" w14:textId="77777777" w:rsidR="002965F7" w:rsidRPr="002965F7" w:rsidRDefault="002965F7" w:rsidP="002965F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</w:pPr>
      <w:r w:rsidRPr="002965F7">
        <w:t xml:space="preserve">Vývoj </w:t>
      </w:r>
      <w:proofErr w:type="spellStart"/>
      <w:r w:rsidRPr="002965F7">
        <w:t>genomických</w:t>
      </w:r>
      <w:proofErr w:type="spellEnd"/>
      <w:r w:rsidRPr="002965F7">
        <w:t xml:space="preserve"> a inovativních postupů při sběru a analýze dat ve šlechtění koní a zavedení rutinní předpovědi </w:t>
      </w:r>
      <w:proofErr w:type="spellStart"/>
      <w:r w:rsidRPr="002965F7">
        <w:t>genomických</w:t>
      </w:r>
      <w:proofErr w:type="spellEnd"/>
      <w:r w:rsidRPr="002965F7">
        <w:t xml:space="preserve"> plemenných hodnot</w:t>
      </w:r>
    </w:p>
    <w:p w14:paraId="78DAC205" w14:textId="77777777" w:rsidR="002965F7" w:rsidRPr="002965F7" w:rsidRDefault="002965F7" w:rsidP="002965F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</w:pPr>
      <w:r w:rsidRPr="002965F7">
        <w:t>Stanovení procentuálního zastoupení jednotlivých komponent živočišného původu v mletém mase a masných polotovarech</w:t>
      </w:r>
    </w:p>
    <w:p w14:paraId="7B523751" w14:textId="77777777" w:rsidR="002965F7" w:rsidRPr="002965F7" w:rsidRDefault="002965F7" w:rsidP="002965F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</w:pPr>
      <w:r w:rsidRPr="002965F7">
        <w:t xml:space="preserve">Pilotní monitoring, detekce a evaluace používání a konzumní spotřeby 5 vybraných látek určených k aromatizaci potravin – kofeinu, </w:t>
      </w:r>
      <w:proofErr w:type="spellStart"/>
      <w:r w:rsidRPr="002965F7">
        <w:t>pulegonu</w:t>
      </w:r>
      <w:proofErr w:type="spellEnd"/>
      <w:r w:rsidRPr="002965F7">
        <w:t xml:space="preserve">, kumarinu, kyseliny kyanovodíkové a </w:t>
      </w:r>
      <w:proofErr w:type="spellStart"/>
      <w:r w:rsidRPr="002965F7">
        <w:t>theobrominu</w:t>
      </w:r>
      <w:proofErr w:type="spellEnd"/>
      <w:r w:rsidRPr="002965F7">
        <w:t xml:space="preserve"> v průmyslově zpracovaných potravinách v reprezentativní části populace ČR</w:t>
      </w:r>
    </w:p>
    <w:p w14:paraId="1C212839" w14:textId="77777777" w:rsidR="002965F7" w:rsidRDefault="002965F7" w:rsidP="002965F7">
      <w:pPr>
        <w:spacing w:line="240" w:lineRule="auto"/>
        <w:jc w:val="both"/>
        <w:rPr>
          <w:rFonts w:cstheme="minorHAnsi"/>
        </w:rPr>
      </w:pPr>
    </w:p>
    <w:p w14:paraId="3F10C7AF" w14:textId="77777777" w:rsidR="002965F7" w:rsidRPr="002965F7" w:rsidRDefault="002965F7" w:rsidP="002965F7">
      <w:pPr>
        <w:spacing w:line="240" w:lineRule="auto"/>
        <w:jc w:val="both"/>
        <w:rPr>
          <w:rFonts w:cstheme="minorHAnsi"/>
          <w:b/>
        </w:rPr>
      </w:pPr>
      <w:r w:rsidRPr="002965F7">
        <w:rPr>
          <w:rFonts w:cstheme="minorHAnsi"/>
          <w:b/>
        </w:rPr>
        <w:t>Pro klíčovou oblast Globální změny v biosféře jsou stanovena témata:</w:t>
      </w:r>
    </w:p>
    <w:p w14:paraId="01C9482A" w14:textId="77777777" w:rsidR="002965F7" w:rsidRPr="002965F7" w:rsidRDefault="002965F7" w:rsidP="002965F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</w:pPr>
      <w:r w:rsidRPr="002965F7">
        <w:t>Kvantifikace snižování zemědělských emisí skleníkových plynů (metanu, oxidu</w:t>
      </w:r>
      <w:r w:rsidRPr="002965F7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 </w:t>
      </w:r>
      <w:r w:rsidRPr="002965F7">
        <w:t>dusného) a kvantifikace dlouhodobého pohlcování uhlíku v zemědělské půdě vlivem uhlíkového a regenerativního zemědělství</w:t>
      </w:r>
    </w:p>
    <w:p w14:paraId="21E22097" w14:textId="77777777" w:rsidR="002965F7" w:rsidRPr="002965F7" w:rsidRDefault="002965F7" w:rsidP="002965F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</w:pPr>
      <w:r w:rsidRPr="002965F7">
        <w:t>Vliv víceletých pícnin na výživu rostlin, půdu, vodu a klima</w:t>
      </w:r>
    </w:p>
    <w:p w14:paraId="7B091693" w14:textId="77777777" w:rsidR="002965F7" w:rsidRPr="002965F7" w:rsidRDefault="002965F7" w:rsidP="002965F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</w:pPr>
      <w:r w:rsidRPr="002965F7">
        <w:t>Strategie udržitelné produkce osiv minoritních plodin pro pokrytí potřeb zemědělství v rámci nové SZP</w:t>
      </w:r>
    </w:p>
    <w:p w14:paraId="26B3EE74" w14:textId="77777777" w:rsidR="002965F7" w:rsidRPr="002965F7" w:rsidRDefault="002965F7" w:rsidP="002965F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</w:pPr>
      <w:r w:rsidRPr="002965F7">
        <w:t>Ověření postupů eliminace hraboše polního v pěstovaných plodinách a víceletých kulturách. Ověření spolehlivosti metod monitoringu výskytu, signalizace ošetření a prahu škodlivosti, stanovení kalamitního prahu a predikce průběhu populační dynamiky hraboše polního</w:t>
      </w:r>
    </w:p>
    <w:p w14:paraId="5FCFA517" w14:textId="77777777" w:rsidR="002965F7" w:rsidRPr="002965F7" w:rsidRDefault="002965F7" w:rsidP="002965F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</w:pPr>
      <w:r w:rsidRPr="002965F7">
        <w:t>Vyhodnocení dopadů zemědělských postupů uplatňovaných v rámci režimů pro klima a životní prostředí a podmíněnosti na zvýšení sekvestračního potenciálu a omezení emisí skleníkových plynů v rámci nastavení podmínek DZES a režimů pro klima a životní prostředí pro podporu udržitelného hospodaření v České republice</w:t>
      </w:r>
    </w:p>
    <w:p w14:paraId="3BFD521A" w14:textId="77777777" w:rsidR="002965F7" w:rsidRPr="002965F7" w:rsidRDefault="002965F7" w:rsidP="002965F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</w:pPr>
      <w:r w:rsidRPr="002965F7">
        <w:t>Metodika stanovení ohrožených oblastí z hlediska rizika nadlimitního výskytu pesticidů a reziduí pesticidů v povrchové a podzemní vodě</w:t>
      </w:r>
    </w:p>
    <w:p w14:paraId="004374C2" w14:textId="77777777" w:rsidR="002965F7" w:rsidRPr="002965F7" w:rsidRDefault="002965F7" w:rsidP="002965F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</w:pPr>
      <w:r w:rsidRPr="002965F7">
        <w:t>Strategie posouzení rizik zhoršení jakosti vody v přehradních nádržích následkem změny klimatu a návrhy opatření k jejich zmírnění</w:t>
      </w:r>
    </w:p>
    <w:p w14:paraId="36E2EAA1" w14:textId="77777777" w:rsidR="002965F7" w:rsidRPr="002965F7" w:rsidRDefault="002965F7" w:rsidP="002965F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</w:pPr>
      <w:r w:rsidRPr="002965F7">
        <w:t>Vývoj technologicky efektivního chovu ryb v rybnících, odolávajícího klimatickým změnám s nízkými emisemi odpadních látek a úsporou nároků na vodní zdroje</w:t>
      </w:r>
    </w:p>
    <w:p w14:paraId="3A4FE627" w14:textId="77777777" w:rsidR="002965F7" w:rsidRPr="002965F7" w:rsidRDefault="002965F7" w:rsidP="002965F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</w:pPr>
      <w:r w:rsidRPr="002965F7">
        <w:lastRenderedPageBreak/>
        <w:t xml:space="preserve">Komplexní zhodnocení dopadů kůrovcové kalamity a </w:t>
      </w:r>
      <w:proofErr w:type="spellStart"/>
      <w:r w:rsidRPr="002965F7">
        <w:t>pokalamitní</w:t>
      </w:r>
      <w:proofErr w:type="spellEnd"/>
      <w:r w:rsidRPr="002965F7">
        <w:t xml:space="preserve"> obnovy na dosažení cílů v oblasti adaptace lesů na změny klimatu a udržitelné poskytování ekosystémových služeb</w:t>
      </w:r>
    </w:p>
    <w:p w14:paraId="263D28DB" w14:textId="77777777" w:rsidR="002965F7" w:rsidRPr="002965F7" w:rsidRDefault="002965F7" w:rsidP="002965F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</w:pPr>
      <w:r w:rsidRPr="002965F7">
        <w:t>Vliv lesní cestní sítě na odtok vody z lesů v měnících se klimatických podmínkách</w:t>
      </w:r>
    </w:p>
    <w:p w14:paraId="1355265D" w14:textId="77777777" w:rsidR="002965F7" w:rsidRPr="002965F7" w:rsidRDefault="002965F7" w:rsidP="002965F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</w:pPr>
      <w:r w:rsidRPr="002965F7">
        <w:t xml:space="preserve">Vyhodnocení biodiverzity rybích populací v </w:t>
      </w:r>
      <w:proofErr w:type="spellStart"/>
      <w:r w:rsidRPr="002965F7">
        <w:t>mimopstruhových</w:t>
      </w:r>
      <w:proofErr w:type="spellEnd"/>
      <w:r w:rsidRPr="002965F7">
        <w:t xml:space="preserve"> rybářských revírech na území České republiky s predikcí očekávaných změn v důsledku vlivu abiotických a biotických faktorů</w:t>
      </w:r>
    </w:p>
    <w:p w14:paraId="44AD783B" w14:textId="77777777" w:rsidR="002965F7" w:rsidRPr="002965F7" w:rsidRDefault="002965F7" w:rsidP="002965F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</w:pPr>
      <w:r w:rsidRPr="002965F7">
        <w:t xml:space="preserve">Výskyt </w:t>
      </w:r>
      <w:proofErr w:type="spellStart"/>
      <w:r w:rsidRPr="002965F7">
        <w:t>perfluorovaných</w:t>
      </w:r>
      <w:proofErr w:type="spellEnd"/>
      <w:r w:rsidRPr="002965F7">
        <w:t xml:space="preserve"> a </w:t>
      </w:r>
      <w:proofErr w:type="spellStart"/>
      <w:r w:rsidRPr="002965F7">
        <w:t>polyfluorovaných</w:t>
      </w:r>
      <w:proofErr w:type="spellEnd"/>
      <w:r w:rsidRPr="002965F7">
        <w:t xml:space="preserve"> látek (PFAS) v rybách – aktuální situace v České republice</w:t>
      </w:r>
    </w:p>
    <w:p w14:paraId="4DEA3CFC" w14:textId="77777777" w:rsidR="002965F7" w:rsidRDefault="002965F7" w:rsidP="002043FB">
      <w:pPr>
        <w:jc w:val="both"/>
        <w:rPr>
          <w:rFonts w:cstheme="minorHAnsi"/>
          <w:b/>
          <w:color w:val="1F4E79" w:themeColor="accent1" w:themeShade="80"/>
          <w:sz w:val="28"/>
          <w:szCs w:val="28"/>
        </w:rPr>
      </w:pPr>
    </w:p>
    <w:p w14:paraId="2E326950" w14:textId="77777777" w:rsidR="007E344D" w:rsidRPr="00827BC3" w:rsidRDefault="00B97E24" w:rsidP="002043FB">
      <w:pPr>
        <w:jc w:val="both"/>
        <w:rPr>
          <w:rFonts w:cstheme="minorHAnsi"/>
          <w:b/>
          <w:color w:val="1F4E79" w:themeColor="accent1" w:themeShade="80"/>
          <w:sz w:val="28"/>
          <w:szCs w:val="28"/>
        </w:rPr>
      </w:pPr>
      <w:r w:rsidRPr="00827BC3">
        <w:rPr>
          <w:rFonts w:cstheme="minorHAnsi"/>
          <w:b/>
          <w:color w:val="1F4E79" w:themeColor="accent1" w:themeShade="80"/>
          <w:sz w:val="28"/>
          <w:szCs w:val="28"/>
        </w:rPr>
        <w:t>Minimální požadavky na výsledky projektu</w:t>
      </w:r>
      <w:r w:rsidR="0094431F">
        <w:rPr>
          <w:rFonts w:cstheme="minorHAnsi"/>
          <w:b/>
          <w:color w:val="1F4E79" w:themeColor="accent1" w:themeShade="80"/>
          <w:sz w:val="28"/>
          <w:szCs w:val="28"/>
        </w:rPr>
        <w:t>:</w:t>
      </w:r>
    </w:p>
    <w:p w14:paraId="5EFEECC4" w14:textId="77777777" w:rsidR="00545EB6" w:rsidRDefault="00827BC3" w:rsidP="00827BC3">
      <w:pPr>
        <w:jc w:val="both"/>
      </w:pPr>
      <w:r>
        <w:t>Výsledky podporované v PPII Programu ZEMĚ II:</w:t>
      </w:r>
    </w:p>
    <w:tbl>
      <w:tblPr>
        <w:tblStyle w:val="Svtltabulkasmkou1"/>
        <w:tblW w:w="0" w:type="auto"/>
        <w:tblLayout w:type="fixed"/>
        <w:tblLook w:val="0000" w:firstRow="0" w:lastRow="0" w:firstColumn="0" w:lastColumn="0" w:noHBand="0" w:noVBand="0"/>
      </w:tblPr>
      <w:tblGrid>
        <w:gridCol w:w="4289"/>
        <w:gridCol w:w="4289"/>
      </w:tblGrid>
      <w:tr w:rsidR="00827BC3" w:rsidRPr="007E3207" w14:paraId="3F22563A" w14:textId="77777777" w:rsidTr="007E3207">
        <w:trPr>
          <w:trHeight w:val="277"/>
        </w:trPr>
        <w:tc>
          <w:tcPr>
            <w:tcW w:w="4289" w:type="dxa"/>
          </w:tcPr>
          <w:p w14:paraId="74CDF8B6" w14:textId="77777777" w:rsidR="00827BC3" w:rsidRPr="007E3207" w:rsidRDefault="00827BC3" w:rsidP="00827BC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4"/>
                <w:szCs w:val="14"/>
              </w:rPr>
            </w:pPr>
            <w:r w:rsidRPr="007E3207">
              <w:rPr>
                <w:rFonts w:cstheme="minorHAnsi"/>
                <w:color w:val="000000"/>
              </w:rPr>
              <w:t>H</w:t>
            </w:r>
            <w:proofErr w:type="spellStart"/>
            <w:r w:rsidRPr="007E3207">
              <w:rPr>
                <w:rFonts w:cstheme="minorHAnsi"/>
                <w:color w:val="000000"/>
                <w:position w:val="-8"/>
                <w:sz w:val="14"/>
                <w:szCs w:val="14"/>
                <w:vertAlign w:val="subscript"/>
              </w:rPr>
              <w:t>neleg</w:t>
            </w:r>
            <w:proofErr w:type="spellEnd"/>
            <w:r w:rsidRPr="007E3207">
              <w:rPr>
                <w:rFonts w:cstheme="minorHAnsi"/>
                <w:color w:val="000000"/>
                <w:position w:val="-8"/>
                <w:sz w:val="14"/>
                <w:szCs w:val="14"/>
                <w:vertAlign w:val="subscript"/>
              </w:rPr>
              <w:t xml:space="preserve"> </w:t>
            </w:r>
          </w:p>
        </w:tc>
        <w:tc>
          <w:tcPr>
            <w:tcW w:w="4289" w:type="dxa"/>
          </w:tcPr>
          <w:p w14:paraId="1CCB5255" w14:textId="77777777" w:rsidR="00827BC3" w:rsidRPr="007E3207" w:rsidRDefault="00827BC3" w:rsidP="00827BC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E3207">
              <w:rPr>
                <w:rFonts w:cstheme="minorHAnsi"/>
                <w:color w:val="000000"/>
              </w:rPr>
              <w:t xml:space="preserve">výsledky promítnuté do směrnic a předpisů nelegislativní povahy závazných v rámci kompetence </w:t>
            </w:r>
            <w:proofErr w:type="spellStart"/>
            <w:r w:rsidRPr="007E3207">
              <w:rPr>
                <w:rFonts w:cstheme="minorHAnsi"/>
                <w:color w:val="000000"/>
              </w:rPr>
              <w:t>MZe</w:t>
            </w:r>
            <w:proofErr w:type="spellEnd"/>
            <w:r w:rsidRPr="007E3207">
              <w:rPr>
                <w:rFonts w:cstheme="minorHAnsi"/>
                <w:color w:val="000000"/>
              </w:rPr>
              <w:t xml:space="preserve"> </w:t>
            </w:r>
          </w:p>
        </w:tc>
      </w:tr>
      <w:tr w:rsidR="00827BC3" w:rsidRPr="007E3207" w14:paraId="775502CE" w14:textId="77777777" w:rsidTr="007E3207">
        <w:trPr>
          <w:trHeight w:val="162"/>
        </w:trPr>
        <w:tc>
          <w:tcPr>
            <w:tcW w:w="4289" w:type="dxa"/>
          </w:tcPr>
          <w:p w14:paraId="2352D6A0" w14:textId="77777777" w:rsidR="00827BC3" w:rsidRPr="007E3207" w:rsidRDefault="00827BC3" w:rsidP="00827BC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4"/>
                <w:szCs w:val="14"/>
              </w:rPr>
            </w:pPr>
            <w:r w:rsidRPr="007E3207">
              <w:rPr>
                <w:rFonts w:cstheme="minorHAnsi"/>
                <w:color w:val="000000"/>
              </w:rPr>
              <w:t>H</w:t>
            </w:r>
            <w:r w:rsidRPr="007E3207">
              <w:rPr>
                <w:rFonts w:cstheme="minorHAnsi"/>
                <w:color w:val="000000"/>
                <w:position w:val="-8"/>
                <w:sz w:val="14"/>
                <w:szCs w:val="14"/>
                <w:vertAlign w:val="subscript"/>
              </w:rPr>
              <w:t xml:space="preserve">leg </w:t>
            </w:r>
          </w:p>
        </w:tc>
        <w:tc>
          <w:tcPr>
            <w:tcW w:w="4289" w:type="dxa"/>
          </w:tcPr>
          <w:p w14:paraId="3C006CA6" w14:textId="77777777" w:rsidR="00827BC3" w:rsidRPr="007E3207" w:rsidRDefault="00827BC3" w:rsidP="00827BC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E3207">
              <w:rPr>
                <w:rFonts w:cstheme="minorHAnsi"/>
                <w:color w:val="000000"/>
              </w:rPr>
              <w:t xml:space="preserve">výsledky promítnuté do právních předpisů a norem </w:t>
            </w:r>
          </w:p>
        </w:tc>
      </w:tr>
      <w:tr w:rsidR="00827BC3" w:rsidRPr="007E3207" w14:paraId="5505C476" w14:textId="77777777" w:rsidTr="007E3207">
        <w:trPr>
          <w:trHeight w:val="277"/>
        </w:trPr>
        <w:tc>
          <w:tcPr>
            <w:tcW w:w="4289" w:type="dxa"/>
          </w:tcPr>
          <w:p w14:paraId="13598543" w14:textId="77777777" w:rsidR="00827BC3" w:rsidRPr="007E3207" w:rsidRDefault="00827BC3" w:rsidP="00827BC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4"/>
                <w:szCs w:val="14"/>
              </w:rPr>
            </w:pPr>
            <w:r w:rsidRPr="007E3207">
              <w:rPr>
                <w:rFonts w:cstheme="minorHAnsi"/>
                <w:color w:val="000000"/>
              </w:rPr>
              <w:t>H</w:t>
            </w:r>
            <w:proofErr w:type="spellStart"/>
            <w:r w:rsidRPr="007E3207">
              <w:rPr>
                <w:rFonts w:cstheme="minorHAnsi"/>
                <w:color w:val="000000"/>
                <w:position w:val="-8"/>
                <w:sz w:val="14"/>
                <w:szCs w:val="14"/>
                <w:vertAlign w:val="subscript"/>
              </w:rPr>
              <w:t>konc</w:t>
            </w:r>
            <w:proofErr w:type="spellEnd"/>
            <w:r w:rsidRPr="007E3207">
              <w:rPr>
                <w:rFonts w:cstheme="minorHAnsi"/>
                <w:color w:val="000000"/>
                <w:position w:val="-8"/>
                <w:sz w:val="14"/>
                <w:szCs w:val="14"/>
                <w:vertAlign w:val="subscript"/>
              </w:rPr>
              <w:t xml:space="preserve"> </w:t>
            </w:r>
          </w:p>
        </w:tc>
        <w:tc>
          <w:tcPr>
            <w:tcW w:w="4289" w:type="dxa"/>
          </w:tcPr>
          <w:p w14:paraId="6C5A0885" w14:textId="77777777" w:rsidR="00827BC3" w:rsidRPr="007E3207" w:rsidRDefault="00827BC3" w:rsidP="00827BC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E3207">
              <w:rPr>
                <w:rFonts w:cstheme="minorHAnsi"/>
                <w:color w:val="000000"/>
              </w:rPr>
              <w:t xml:space="preserve">výsledky promítnuté do schválených strategických a koncepčních dokumentů orgánů státní nebo veřejné správy </w:t>
            </w:r>
          </w:p>
        </w:tc>
      </w:tr>
      <w:tr w:rsidR="00827BC3" w:rsidRPr="007E3207" w14:paraId="5C36A71C" w14:textId="77777777" w:rsidTr="007E3207">
        <w:trPr>
          <w:trHeight w:val="150"/>
        </w:trPr>
        <w:tc>
          <w:tcPr>
            <w:tcW w:w="4289" w:type="dxa"/>
          </w:tcPr>
          <w:p w14:paraId="594EBD4E" w14:textId="77777777" w:rsidR="00827BC3" w:rsidRPr="007E3207" w:rsidRDefault="00827BC3" w:rsidP="00827BC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4"/>
                <w:szCs w:val="14"/>
              </w:rPr>
            </w:pPr>
            <w:r w:rsidRPr="007E3207">
              <w:rPr>
                <w:rFonts w:cstheme="minorHAnsi"/>
                <w:color w:val="000000"/>
              </w:rPr>
              <w:t>J</w:t>
            </w:r>
            <w:proofErr w:type="spellStart"/>
            <w:r w:rsidRPr="007E3207">
              <w:rPr>
                <w:rFonts w:cstheme="minorHAnsi"/>
                <w:color w:val="000000"/>
                <w:position w:val="-8"/>
                <w:sz w:val="14"/>
                <w:szCs w:val="14"/>
                <w:vertAlign w:val="subscript"/>
              </w:rPr>
              <w:t>imp</w:t>
            </w:r>
            <w:proofErr w:type="spellEnd"/>
            <w:r w:rsidRPr="007E3207">
              <w:rPr>
                <w:rFonts w:cstheme="minorHAnsi"/>
                <w:color w:val="000000"/>
              </w:rPr>
              <w:t>, J</w:t>
            </w:r>
            <w:proofErr w:type="spellStart"/>
            <w:r w:rsidRPr="007E3207">
              <w:rPr>
                <w:rFonts w:cstheme="minorHAnsi"/>
                <w:color w:val="000000"/>
                <w:position w:val="-8"/>
                <w:sz w:val="14"/>
                <w:szCs w:val="14"/>
                <w:vertAlign w:val="subscript"/>
              </w:rPr>
              <w:t>sc</w:t>
            </w:r>
            <w:proofErr w:type="spellEnd"/>
            <w:r w:rsidRPr="007E3207">
              <w:rPr>
                <w:rFonts w:cstheme="minorHAnsi"/>
                <w:color w:val="000000"/>
              </w:rPr>
              <w:t>, J</w:t>
            </w:r>
            <w:proofErr w:type="spellStart"/>
            <w:r w:rsidRPr="007E3207">
              <w:rPr>
                <w:rFonts w:cstheme="minorHAnsi"/>
                <w:color w:val="000000"/>
                <w:position w:val="-8"/>
                <w:sz w:val="14"/>
                <w:szCs w:val="14"/>
                <w:vertAlign w:val="subscript"/>
              </w:rPr>
              <w:t>ost</w:t>
            </w:r>
            <w:proofErr w:type="spellEnd"/>
            <w:r w:rsidRPr="007E3207">
              <w:rPr>
                <w:rFonts w:cstheme="minorHAnsi"/>
                <w:color w:val="000000"/>
                <w:position w:val="-8"/>
                <w:sz w:val="14"/>
                <w:szCs w:val="14"/>
                <w:vertAlign w:val="subscript"/>
              </w:rPr>
              <w:t xml:space="preserve"> </w:t>
            </w:r>
          </w:p>
        </w:tc>
        <w:tc>
          <w:tcPr>
            <w:tcW w:w="4289" w:type="dxa"/>
          </w:tcPr>
          <w:p w14:paraId="3CC13C64" w14:textId="77777777" w:rsidR="00827BC3" w:rsidRPr="007E3207" w:rsidRDefault="00827BC3" w:rsidP="00827BC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E3207">
              <w:rPr>
                <w:rFonts w:cstheme="minorHAnsi"/>
                <w:color w:val="000000"/>
              </w:rPr>
              <w:t xml:space="preserve">recenzovaný odborný článek </w:t>
            </w:r>
          </w:p>
        </w:tc>
      </w:tr>
      <w:tr w:rsidR="00827BC3" w:rsidRPr="007E3207" w14:paraId="590DABD2" w14:textId="77777777" w:rsidTr="007E3207">
        <w:trPr>
          <w:trHeight w:val="162"/>
        </w:trPr>
        <w:tc>
          <w:tcPr>
            <w:tcW w:w="4289" w:type="dxa"/>
          </w:tcPr>
          <w:p w14:paraId="37B5D4C2" w14:textId="77777777" w:rsidR="00827BC3" w:rsidRPr="007E3207" w:rsidRDefault="00827BC3" w:rsidP="00827BC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4"/>
                <w:szCs w:val="14"/>
              </w:rPr>
            </w:pPr>
            <w:r w:rsidRPr="007E3207">
              <w:rPr>
                <w:rFonts w:cstheme="minorHAnsi"/>
                <w:color w:val="000000"/>
              </w:rPr>
              <w:t>G</w:t>
            </w:r>
            <w:proofErr w:type="spellStart"/>
            <w:r w:rsidRPr="007E3207">
              <w:rPr>
                <w:rFonts w:cstheme="minorHAnsi"/>
                <w:color w:val="000000"/>
                <w:position w:val="-8"/>
                <w:sz w:val="14"/>
                <w:szCs w:val="14"/>
                <w:vertAlign w:val="subscript"/>
              </w:rPr>
              <w:t>prot</w:t>
            </w:r>
            <w:proofErr w:type="spellEnd"/>
            <w:r w:rsidRPr="007E3207">
              <w:rPr>
                <w:rFonts w:cstheme="minorHAnsi"/>
                <w:color w:val="000000"/>
              </w:rPr>
              <w:t>, G</w:t>
            </w:r>
            <w:r w:rsidRPr="007E3207">
              <w:rPr>
                <w:rFonts w:cstheme="minorHAnsi"/>
                <w:color w:val="000000"/>
                <w:position w:val="-8"/>
                <w:sz w:val="14"/>
                <w:szCs w:val="14"/>
                <w:vertAlign w:val="subscript"/>
              </w:rPr>
              <w:t xml:space="preserve">funk </w:t>
            </w:r>
          </w:p>
        </w:tc>
        <w:tc>
          <w:tcPr>
            <w:tcW w:w="4289" w:type="dxa"/>
          </w:tcPr>
          <w:p w14:paraId="55AFEC6B" w14:textId="77777777" w:rsidR="00827BC3" w:rsidRPr="007E3207" w:rsidRDefault="00827BC3" w:rsidP="00827BC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E3207">
              <w:rPr>
                <w:rFonts w:cstheme="minorHAnsi"/>
                <w:color w:val="000000"/>
              </w:rPr>
              <w:t xml:space="preserve">prototyp, funkční vzorek </w:t>
            </w:r>
          </w:p>
        </w:tc>
      </w:tr>
      <w:tr w:rsidR="00827BC3" w:rsidRPr="007E3207" w14:paraId="509C58A3" w14:textId="77777777" w:rsidTr="007E3207">
        <w:trPr>
          <w:trHeight w:val="150"/>
        </w:trPr>
        <w:tc>
          <w:tcPr>
            <w:tcW w:w="4289" w:type="dxa"/>
          </w:tcPr>
          <w:p w14:paraId="7C858727" w14:textId="77777777" w:rsidR="00827BC3" w:rsidRPr="007E3207" w:rsidRDefault="00827BC3" w:rsidP="00827BC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E3207">
              <w:rPr>
                <w:rFonts w:cstheme="minorHAnsi"/>
                <w:color w:val="000000"/>
              </w:rPr>
              <w:t xml:space="preserve">P </w:t>
            </w:r>
          </w:p>
        </w:tc>
        <w:tc>
          <w:tcPr>
            <w:tcW w:w="4289" w:type="dxa"/>
          </w:tcPr>
          <w:p w14:paraId="299EEAA4" w14:textId="77777777" w:rsidR="00827BC3" w:rsidRPr="007E3207" w:rsidRDefault="00827BC3" w:rsidP="00827BC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E3207">
              <w:rPr>
                <w:rFonts w:cstheme="minorHAnsi"/>
                <w:color w:val="000000"/>
              </w:rPr>
              <w:t xml:space="preserve">patent </w:t>
            </w:r>
          </w:p>
        </w:tc>
      </w:tr>
      <w:tr w:rsidR="00827BC3" w:rsidRPr="007E3207" w14:paraId="0ED8C30D" w14:textId="77777777" w:rsidTr="007E3207">
        <w:trPr>
          <w:trHeight w:val="150"/>
        </w:trPr>
        <w:tc>
          <w:tcPr>
            <w:tcW w:w="4289" w:type="dxa"/>
          </w:tcPr>
          <w:p w14:paraId="190154DC" w14:textId="77777777" w:rsidR="00827BC3" w:rsidRPr="007E3207" w:rsidRDefault="00827BC3" w:rsidP="00827BC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E3207">
              <w:rPr>
                <w:rFonts w:cstheme="minorHAnsi"/>
                <w:color w:val="000000"/>
              </w:rPr>
              <w:t xml:space="preserve">Z </w:t>
            </w:r>
          </w:p>
        </w:tc>
        <w:tc>
          <w:tcPr>
            <w:tcW w:w="4289" w:type="dxa"/>
          </w:tcPr>
          <w:p w14:paraId="6321481F" w14:textId="77777777" w:rsidR="00827BC3" w:rsidRPr="007E3207" w:rsidRDefault="00827BC3" w:rsidP="00827BC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E3207">
              <w:rPr>
                <w:rFonts w:cstheme="minorHAnsi"/>
                <w:color w:val="000000"/>
              </w:rPr>
              <w:t xml:space="preserve">poloprovoz, ověřená technologie, odrůda, plemeno </w:t>
            </w:r>
          </w:p>
        </w:tc>
      </w:tr>
      <w:tr w:rsidR="00827BC3" w:rsidRPr="007E3207" w14:paraId="2393AABE" w14:textId="77777777" w:rsidTr="007E3207">
        <w:trPr>
          <w:trHeight w:val="150"/>
        </w:trPr>
        <w:tc>
          <w:tcPr>
            <w:tcW w:w="4289" w:type="dxa"/>
          </w:tcPr>
          <w:p w14:paraId="2CBF91E1" w14:textId="77777777" w:rsidR="00827BC3" w:rsidRPr="007E3207" w:rsidRDefault="00827BC3" w:rsidP="00827BC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E3207">
              <w:rPr>
                <w:rFonts w:cstheme="minorHAnsi"/>
                <w:color w:val="000000"/>
              </w:rPr>
              <w:t xml:space="preserve">F </w:t>
            </w:r>
          </w:p>
        </w:tc>
        <w:tc>
          <w:tcPr>
            <w:tcW w:w="4289" w:type="dxa"/>
          </w:tcPr>
          <w:p w14:paraId="4C4C3B81" w14:textId="77777777" w:rsidR="00827BC3" w:rsidRPr="007E3207" w:rsidRDefault="00827BC3" w:rsidP="00827BC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E3207">
              <w:rPr>
                <w:rFonts w:cstheme="minorHAnsi"/>
                <w:color w:val="000000"/>
              </w:rPr>
              <w:t xml:space="preserve">užitný vzor, průmyslový vzor </w:t>
            </w:r>
          </w:p>
        </w:tc>
      </w:tr>
      <w:tr w:rsidR="00827BC3" w:rsidRPr="007E3207" w14:paraId="047E737A" w14:textId="77777777" w:rsidTr="007E3207">
        <w:trPr>
          <w:trHeight w:val="150"/>
        </w:trPr>
        <w:tc>
          <w:tcPr>
            <w:tcW w:w="4289" w:type="dxa"/>
          </w:tcPr>
          <w:p w14:paraId="7309FD8F" w14:textId="77777777" w:rsidR="00827BC3" w:rsidRPr="007E3207" w:rsidRDefault="00827BC3" w:rsidP="00827BC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E3207">
              <w:rPr>
                <w:rFonts w:cstheme="minorHAnsi"/>
                <w:color w:val="000000"/>
              </w:rPr>
              <w:t xml:space="preserve">R </w:t>
            </w:r>
          </w:p>
        </w:tc>
        <w:tc>
          <w:tcPr>
            <w:tcW w:w="4289" w:type="dxa"/>
          </w:tcPr>
          <w:p w14:paraId="61513C2D" w14:textId="77777777" w:rsidR="00827BC3" w:rsidRPr="007E3207" w:rsidRDefault="00827BC3" w:rsidP="00827BC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E3207">
              <w:rPr>
                <w:rFonts w:cstheme="minorHAnsi"/>
                <w:color w:val="000000"/>
              </w:rPr>
              <w:t xml:space="preserve">software </w:t>
            </w:r>
          </w:p>
        </w:tc>
      </w:tr>
      <w:tr w:rsidR="00827BC3" w:rsidRPr="007E3207" w14:paraId="1F4A99E8" w14:textId="77777777" w:rsidTr="007E3207">
        <w:trPr>
          <w:trHeight w:val="150"/>
        </w:trPr>
        <w:tc>
          <w:tcPr>
            <w:tcW w:w="4289" w:type="dxa"/>
          </w:tcPr>
          <w:p w14:paraId="0220BCBB" w14:textId="77777777" w:rsidR="00827BC3" w:rsidRPr="007E3207" w:rsidRDefault="00827BC3" w:rsidP="00827BC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E3207">
              <w:rPr>
                <w:rFonts w:cstheme="minorHAnsi"/>
                <w:color w:val="000000"/>
              </w:rPr>
              <w:t xml:space="preserve">S </w:t>
            </w:r>
          </w:p>
        </w:tc>
        <w:tc>
          <w:tcPr>
            <w:tcW w:w="4289" w:type="dxa"/>
          </w:tcPr>
          <w:p w14:paraId="3CF50842" w14:textId="77777777" w:rsidR="00827BC3" w:rsidRPr="007E3207" w:rsidRDefault="00827BC3" w:rsidP="00827BC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E3207">
              <w:rPr>
                <w:rFonts w:cstheme="minorHAnsi"/>
                <w:color w:val="000000"/>
              </w:rPr>
              <w:t xml:space="preserve">specializovaná veřejná databáze </w:t>
            </w:r>
          </w:p>
        </w:tc>
      </w:tr>
      <w:tr w:rsidR="00827BC3" w:rsidRPr="007E3207" w14:paraId="6D7BECE0" w14:textId="77777777" w:rsidTr="007E3207">
        <w:trPr>
          <w:trHeight w:val="276"/>
        </w:trPr>
        <w:tc>
          <w:tcPr>
            <w:tcW w:w="4289" w:type="dxa"/>
          </w:tcPr>
          <w:p w14:paraId="0BFF202B" w14:textId="77777777" w:rsidR="00827BC3" w:rsidRPr="007E3207" w:rsidRDefault="00827BC3" w:rsidP="00827BC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4"/>
                <w:szCs w:val="14"/>
              </w:rPr>
            </w:pPr>
            <w:r w:rsidRPr="007E3207">
              <w:rPr>
                <w:rFonts w:cstheme="minorHAnsi"/>
                <w:color w:val="000000"/>
              </w:rPr>
              <w:t>N</w:t>
            </w:r>
            <w:r w:rsidRPr="007E3207">
              <w:rPr>
                <w:rFonts w:cstheme="minorHAnsi"/>
                <w:color w:val="000000"/>
                <w:position w:val="-8"/>
                <w:sz w:val="14"/>
                <w:szCs w:val="14"/>
                <w:vertAlign w:val="subscript"/>
              </w:rPr>
              <w:t>met</w:t>
            </w:r>
            <w:r w:rsidRPr="007E3207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7E3207">
              <w:rPr>
                <w:rFonts w:cstheme="minorHAnsi"/>
                <w:color w:val="000000"/>
                <w:position w:val="-8"/>
                <w:sz w:val="14"/>
                <w:szCs w:val="14"/>
                <w:vertAlign w:val="subscript"/>
              </w:rPr>
              <w:t>Nmap</w:t>
            </w:r>
            <w:proofErr w:type="spellEnd"/>
            <w:r w:rsidRPr="007E3207">
              <w:rPr>
                <w:rFonts w:cstheme="minorHAnsi"/>
                <w:color w:val="000000"/>
                <w:position w:val="-8"/>
                <w:sz w:val="14"/>
                <w:szCs w:val="14"/>
                <w:vertAlign w:val="subscript"/>
              </w:rPr>
              <w:t xml:space="preserve"> </w:t>
            </w:r>
          </w:p>
        </w:tc>
        <w:tc>
          <w:tcPr>
            <w:tcW w:w="4289" w:type="dxa"/>
          </w:tcPr>
          <w:p w14:paraId="5581BEA7" w14:textId="77777777" w:rsidR="00827BC3" w:rsidRPr="007E3207" w:rsidRDefault="00827BC3" w:rsidP="00827BC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E3207">
              <w:rPr>
                <w:rFonts w:cstheme="minorHAnsi"/>
                <w:color w:val="000000"/>
              </w:rPr>
              <w:t xml:space="preserve">certifikovaná metodika, specializovaná mapa s odborným obsahem, léčebný postup </w:t>
            </w:r>
          </w:p>
        </w:tc>
      </w:tr>
      <w:tr w:rsidR="00827BC3" w:rsidRPr="007E3207" w14:paraId="732DCD3E" w14:textId="77777777" w:rsidTr="007E3207">
        <w:trPr>
          <w:trHeight w:val="150"/>
        </w:trPr>
        <w:tc>
          <w:tcPr>
            <w:tcW w:w="4289" w:type="dxa"/>
          </w:tcPr>
          <w:p w14:paraId="463B2FE8" w14:textId="77777777" w:rsidR="00827BC3" w:rsidRPr="007E3207" w:rsidRDefault="00827BC3" w:rsidP="00827BC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E3207">
              <w:rPr>
                <w:rFonts w:cstheme="minorHAnsi"/>
                <w:color w:val="000000"/>
              </w:rPr>
              <w:t xml:space="preserve">M </w:t>
            </w:r>
          </w:p>
        </w:tc>
        <w:tc>
          <w:tcPr>
            <w:tcW w:w="4289" w:type="dxa"/>
          </w:tcPr>
          <w:p w14:paraId="67A9ABB9" w14:textId="77777777" w:rsidR="00827BC3" w:rsidRPr="007E3207" w:rsidRDefault="00827BC3" w:rsidP="00827BC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E3207">
              <w:rPr>
                <w:rFonts w:cstheme="minorHAnsi"/>
                <w:color w:val="000000"/>
              </w:rPr>
              <w:t xml:space="preserve">uspořádání konference </w:t>
            </w:r>
          </w:p>
        </w:tc>
      </w:tr>
      <w:tr w:rsidR="00827BC3" w:rsidRPr="007E3207" w14:paraId="4647AF4F" w14:textId="77777777" w:rsidTr="007E3207">
        <w:trPr>
          <w:trHeight w:val="150"/>
        </w:trPr>
        <w:tc>
          <w:tcPr>
            <w:tcW w:w="4289" w:type="dxa"/>
          </w:tcPr>
          <w:p w14:paraId="3F27B916" w14:textId="77777777" w:rsidR="00827BC3" w:rsidRPr="007E3207" w:rsidRDefault="00827BC3" w:rsidP="00827BC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E3207">
              <w:rPr>
                <w:rFonts w:cstheme="minorHAnsi"/>
                <w:color w:val="000000"/>
              </w:rPr>
              <w:t xml:space="preserve">W </w:t>
            </w:r>
          </w:p>
        </w:tc>
        <w:tc>
          <w:tcPr>
            <w:tcW w:w="4289" w:type="dxa"/>
          </w:tcPr>
          <w:p w14:paraId="71F45AAE" w14:textId="77777777" w:rsidR="00827BC3" w:rsidRPr="007E3207" w:rsidRDefault="00827BC3" w:rsidP="00827BC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E3207">
              <w:rPr>
                <w:rFonts w:cstheme="minorHAnsi"/>
                <w:color w:val="000000"/>
              </w:rPr>
              <w:t xml:space="preserve">uspořádání workshopu </w:t>
            </w:r>
          </w:p>
        </w:tc>
      </w:tr>
      <w:tr w:rsidR="00827BC3" w:rsidRPr="007E3207" w14:paraId="293C7ADB" w14:textId="77777777" w:rsidTr="007E3207">
        <w:trPr>
          <w:trHeight w:val="150"/>
        </w:trPr>
        <w:tc>
          <w:tcPr>
            <w:tcW w:w="4289" w:type="dxa"/>
          </w:tcPr>
          <w:p w14:paraId="471D4B55" w14:textId="77777777" w:rsidR="00827BC3" w:rsidRPr="007E3207" w:rsidRDefault="00827BC3" w:rsidP="00827BC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E3207">
              <w:rPr>
                <w:rFonts w:cstheme="minorHAnsi"/>
                <w:color w:val="000000"/>
              </w:rPr>
              <w:t xml:space="preserve">O </w:t>
            </w:r>
          </w:p>
        </w:tc>
        <w:tc>
          <w:tcPr>
            <w:tcW w:w="4289" w:type="dxa"/>
          </w:tcPr>
          <w:p w14:paraId="49DFC95B" w14:textId="77777777" w:rsidR="00827BC3" w:rsidRPr="007E3207" w:rsidRDefault="00827BC3" w:rsidP="00827BC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E3207">
              <w:rPr>
                <w:rFonts w:cstheme="minorHAnsi"/>
                <w:color w:val="000000"/>
              </w:rPr>
              <w:t>ostatní výsledky</w:t>
            </w:r>
          </w:p>
        </w:tc>
      </w:tr>
    </w:tbl>
    <w:p w14:paraId="1041F263" w14:textId="77777777" w:rsidR="00827BC3" w:rsidRPr="00827BC3" w:rsidRDefault="00827BC3" w:rsidP="00827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CFC76BD" w14:textId="77777777" w:rsidR="00827BC3" w:rsidRPr="00827BC3" w:rsidRDefault="00827BC3" w:rsidP="00827BC3">
      <w:pPr>
        <w:jc w:val="both"/>
        <w:rPr>
          <w:b/>
        </w:rPr>
      </w:pPr>
      <w:r w:rsidRPr="00827BC3">
        <w:t xml:space="preserve">V případě výsledků typu “R” - software </w:t>
      </w:r>
      <w:r w:rsidRPr="00827BC3">
        <w:rPr>
          <w:b/>
        </w:rPr>
        <w:t xml:space="preserve">bude Smlouvou o poskytnutí podpory nebo jejím dodatkem specifikováno: </w:t>
      </w:r>
    </w:p>
    <w:p w14:paraId="0C640209" w14:textId="77777777" w:rsidR="00827BC3" w:rsidRPr="00827BC3" w:rsidRDefault="00827BC3" w:rsidP="00827BC3">
      <w:pPr>
        <w:pStyle w:val="Odstavecseseznamem"/>
        <w:numPr>
          <w:ilvl w:val="0"/>
          <w:numId w:val="30"/>
        </w:numPr>
        <w:jc w:val="both"/>
      </w:pPr>
      <w:r w:rsidRPr="00827BC3">
        <w:t xml:space="preserve">Jakým způsobem budou vypořádána práva k duševnímu vlastnictví. </w:t>
      </w:r>
    </w:p>
    <w:p w14:paraId="73AED0C8" w14:textId="77777777" w:rsidR="00827BC3" w:rsidRDefault="00827BC3" w:rsidP="00827BC3">
      <w:pPr>
        <w:pStyle w:val="Odstavecseseznamem"/>
        <w:numPr>
          <w:ilvl w:val="0"/>
          <w:numId w:val="30"/>
        </w:numPr>
        <w:jc w:val="both"/>
      </w:pPr>
      <w:r w:rsidRPr="00827BC3">
        <w:t xml:space="preserve">Jakým způsobem bude software provozován: </w:t>
      </w:r>
    </w:p>
    <w:p w14:paraId="148C8DBB" w14:textId="77777777" w:rsidR="00827BC3" w:rsidRDefault="00827BC3" w:rsidP="00827BC3">
      <w:pPr>
        <w:pStyle w:val="Odstavecseseznamem"/>
        <w:numPr>
          <w:ilvl w:val="0"/>
          <w:numId w:val="30"/>
        </w:numPr>
        <w:jc w:val="both"/>
      </w:pPr>
      <w:r w:rsidRPr="00827BC3">
        <w:t xml:space="preserve">na jaké infrastruktuře, </w:t>
      </w:r>
    </w:p>
    <w:p w14:paraId="6F26092F" w14:textId="77777777" w:rsidR="00827BC3" w:rsidRDefault="00827BC3" w:rsidP="00827BC3">
      <w:pPr>
        <w:pStyle w:val="Odstavecseseznamem"/>
        <w:numPr>
          <w:ilvl w:val="0"/>
          <w:numId w:val="30"/>
        </w:numPr>
        <w:jc w:val="both"/>
      </w:pPr>
      <w:r w:rsidRPr="00827BC3">
        <w:t xml:space="preserve">kterým subjektem, </w:t>
      </w:r>
    </w:p>
    <w:p w14:paraId="213B5081" w14:textId="77777777" w:rsidR="00827BC3" w:rsidRDefault="00827BC3" w:rsidP="00827BC3">
      <w:pPr>
        <w:pStyle w:val="Odstavecseseznamem"/>
        <w:numPr>
          <w:ilvl w:val="0"/>
          <w:numId w:val="30"/>
        </w:numPr>
        <w:jc w:val="both"/>
      </w:pPr>
      <w:r w:rsidRPr="00827BC3">
        <w:t xml:space="preserve">v jaké kvalitě (z hlediska kompatibility, dostupnosti, přístupnosti, výkonu, bezpečnosti), </w:t>
      </w:r>
    </w:p>
    <w:p w14:paraId="7B8C2539" w14:textId="77777777" w:rsidR="00827BC3" w:rsidRPr="00827BC3" w:rsidRDefault="00827BC3" w:rsidP="00827BC3">
      <w:pPr>
        <w:pStyle w:val="Odstavecseseznamem"/>
        <w:numPr>
          <w:ilvl w:val="0"/>
          <w:numId w:val="30"/>
        </w:numPr>
        <w:jc w:val="both"/>
      </w:pPr>
      <w:r w:rsidRPr="00827BC3">
        <w:t xml:space="preserve">zda a jak bude přístupný veřejnosti nebo jinak specifikované skupině uživatelů. </w:t>
      </w:r>
    </w:p>
    <w:p w14:paraId="4A7CFD08" w14:textId="77777777" w:rsidR="00827BC3" w:rsidRPr="00827BC3" w:rsidRDefault="00827BC3" w:rsidP="00827BC3">
      <w:pPr>
        <w:jc w:val="both"/>
      </w:pPr>
      <w:r w:rsidRPr="00827BC3">
        <w:t xml:space="preserve">Poskytovatel si vyhrazuje právo žádat o licenci nebo podlicenci zahrnující možnost s výsledky výzkumu nakládat ve smyslu úprav, rozšíření, změny, zařazení výsledků do díla souborného, a to i prostřednictvím třetích osob. </w:t>
      </w:r>
    </w:p>
    <w:p w14:paraId="38040987" w14:textId="77777777" w:rsidR="00827BC3" w:rsidRPr="00827BC3" w:rsidRDefault="00827BC3" w:rsidP="00827BC3">
      <w:pPr>
        <w:jc w:val="both"/>
      </w:pPr>
      <w:r w:rsidRPr="00827BC3">
        <w:lastRenderedPageBreak/>
        <w:t xml:space="preserve">U výsledků, jejichž dosažení je závislé na náročném schvalovacím procesu (patent, odrůda, plemeno), který může přesáhnout délku řešení projektu, doporučujeme do návrhu projektu v ISTA tyto výsledky zadat jako další výsledky projektu. </w:t>
      </w:r>
    </w:p>
    <w:p w14:paraId="0DEE4FEB" w14:textId="77777777" w:rsidR="00827BC3" w:rsidRPr="00827BC3" w:rsidRDefault="00827BC3" w:rsidP="00827BC3">
      <w:pPr>
        <w:jc w:val="both"/>
      </w:pPr>
      <w:r w:rsidRPr="00827BC3">
        <w:t xml:space="preserve">Jako výsledek druhu O lze také vykázat doložení akceptace patentové přihlášky, žádosti o registraci odrůdy, případně přihlášky na příslušný chovatelský svaz v případě schvalování plemene. </w:t>
      </w:r>
    </w:p>
    <w:p w14:paraId="0A7CB5FA" w14:textId="77777777" w:rsidR="00827BC3" w:rsidRPr="00827BC3" w:rsidRDefault="00827BC3" w:rsidP="00827BC3">
      <w:pPr>
        <w:jc w:val="both"/>
        <w:rPr>
          <w:b/>
        </w:rPr>
      </w:pPr>
      <w:r w:rsidRPr="00827BC3">
        <w:rPr>
          <w:b/>
        </w:rPr>
        <w:t xml:space="preserve">U výsledků druhu H je povinnou přílohou návrhu projektu doložení zájmu příslušného orgánu státní správy o konkrétní výsledek. Pro doložení zájmu je nutné použít formulář poskytovatele. </w:t>
      </w:r>
    </w:p>
    <w:p w14:paraId="6D5DF5DC" w14:textId="77777777" w:rsidR="00827BC3" w:rsidRPr="00827BC3" w:rsidRDefault="00827BC3" w:rsidP="00827BC3">
      <w:pPr>
        <w:jc w:val="both"/>
      </w:pPr>
      <w:r w:rsidRPr="00827BC3">
        <w:t xml:space="preserve">Výsledky uvedené v návrhu projektu jsou závazné a musí být dosaženy nejpozději do doby ukončení řešení projektu. </w:t>
      </w:r>
    </w:p>
    <w:p w14:paraId="48ADE20C" w14:textId="77777777" w:rsidR="00827BC3" w:rsidRPr="00827BC3" w:rsidRDefault="00827BC3" w:rsidP="00827BC3">
      <w:pPr>
        <w:jc w:val="both"/>
      </w:pPr>
      <w:r w:rsidRPr="00827BC3">
        <w:t xml:space="preserve">Jednotlivé druhy výsledků budou vykazovány a hodnoceny v souladu s platnou Metodikou hodnocení výzkumných organizací a hodnocení programů účelové podpory výzkumu, vývoje a inovací schválené usnesením vlády dne 8. února 2017 č. 107. </w:t>
      </w:r>
    </w:p>
    <w:p w14:paraId="51C5BA34" w14:textId="77777777" w:rsidR="00827BC3" w:rsidRPr="00827BC3" w:rsidRDefault="00827BC3" w:rsidP="00827BC3">
      <w:pPr>
        <w:jc w:val="both"/>
        <w:rPr>
          <w:b/>
        </w:rPr>
      </w:pPr>
      <w:r w:rsidRPr="00827BC3">
        <w:rPr>
          <w:b/>
        </w:rPr>
        <w:t xml:space="preserve">Podle ustanovení §12a zákona č. 130/2002 Sb. má příjemce v případě plného financování výzkumu z veřejných prostředků povinnost bezplatně zveřejňovat či na základě žádosti poskytovat výzkumná data k dosaženým výsledkům. </w:t>
      </w:r>
    </w:p>
    <w:p w14:paraId="2985408C" w14:textId="77777777" w:rsidR="00827BC3" w:rsidRPr="00827BC3" w:rsidRDefault="00827BC3" w:rsidP="00545EB6">
      <w:pPr>
        <w:pStyle w:val="Odstavecseseznamem"/>
        <w:ind w:left="426"/>
        <w:jc w:val="both"/>
        <w:rPr>
          <w:rFonts w:cstheme="minorHAnsi"/>
          <w:highlight w:val="yellow"/>
        </w:rPr>
      </w:pPr>
    </w:p>
    <w:p w14:paraId="780A04A9" w14:textId="77777777" w:rsidR="0057770F" w:rsidRPr="00827BC3" w:rsidRDefault="0057770F" w:rsidP="002043FB">
      <w:pPr>
        <w:jc w:val="both"/>
        <w:rPr>
          <w:rFonts w:cstheme="minorHAnsi"/>
          <w:b/>
          <w:color w:val="1F4E79" w:themeColor="accent1" w:themeShade="80"/>
          <w:sz w:val="28"/>
          <w:szCs w:val="28"/>
        </w:rPr>
      </w:pPr>
      <w:r w:rsidRPr="00827BC3">
        <w:rPr>
          <w:rFonts w:cstheme="minorHAnsi"/>
          <w:b/>
          <w:color w:val="1F4E79" w:themeColor="accent1" w:themeShade="80"/>
          <w:sz w:val="28"/>
          <w:szCs w:val="28"/>
        </w:rPr>
        <w:t>Základní finanční údaje</w:t>
      </w:r>
    </w:p>
    <w:p w14:paraId="3361C460" w14:textId="77777777" w:rsidR="00545EB6" w:rsidRPr="00827BC3" w:rsidRDefault="00545EB6" w:rsidP="00545EB6">
      <w:pPr>
        <w:spacing w:line="100" w:lineRule="atLeast"/>
        <w:jc w:val="both"/>
        <w:rPr>
          <w:rFonts w:cstheme="minorHAnsi"/>
        </w:rPr>
      </w:pPr>
      <w:r w:rsidRPr="00827BC3">
        <w:rPr>
          <w:rFonts w:cstheme="minorHAnsi"/>
        </w:rPr>
        <w:t>Předpokládaná alokace – 270 000 000 Kč</w:t>
      </w:r>
    </w:p>
    <w:p w14:paraId="48B76FD1" w14:textId="77777777" w:rsidR="00D66035" w:rsidRPr="00827BC3" w:rsidRDefault="00D66035" w:rsidP="002043FB">
      <w:pPr>
        <w:spacing w:line="100" w:lineRule="atLeast"/>
        <w:jc w:val="both"/>
        <w:rPr>
          <w:rFonts w:cstheme="minorHAnsi"/>
          <w:b/>
        </w:rPr>
      </w:pPr>
      <w:r w:rsidRPr="00827BC3">
        <w:rPr>
          <w:rFonts w:cstheme="minorHAnsi"/>
          <w:b/>
        </w:rPr>
        <w:t xml:space="preserve">Maximální intenzita podpory </w:t>
      </w:r>
      <w:r w:rsidR="00B06F39" w:rsidRPr="00827BC3">
        <w:rPr>
          <w:rFonts w:cstheme="minorHAnsi"/>
          <w:b/>
        </w:rPr>
        <w:t>je</w:t>
      </w:r>
      <w:r w:rsidRPr="00827BC3">
        <w:rPr>
          <w:rFonts w:cstheme="minorHAnsi"/>
          <w:b/>
        </w:rPr>
        <w:t xml:space="preserve"> 100</w:t>
      </w:r>
      <w:r w:rsidR="00B06F39" w:rsidRPr="00827BC3">
        <w:rPr>
          <w:rFonts w:cstheme="minorHAnsi"/>
          <w:b/>
        </w:rPr>
        <w:t xml:space="preserve"> </w:t>
      </w:r>
      <w:r w:rsidRPr="00827BC3">
        <w:rPr>
          <w:rFonts w:cstheme="minorHAnsi"/>
          <w:b/>
        </w:rPr>
        <w:t>%</w:t>
      </w:r>
      <w:r w:rsidR="00B06F39" w:rsidRPr="00827BC3">
        <w:rPr>
          <w:rFonts w:cstheme="minorHAnsi"/>
          <w:b/>
        </w:rPr>
        <w:t>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06"/>
        <w:gridCol w:w="1366"/>
        <w:gridCol w:w="1276"/>
        <w:gridCol w:w="1276"/>
        <w:gridCol w:w="1275"/>
        <w:gridCol w:w="1007"/>
        <w:gridCol w:w="1256"/>
      </w:tblGrid>
      <w:tr w:rsidR="00B76B8F" w14:paraId="562F3A16" w14:textId="77777777" w:rsidTr="00B76B8F">
        <w:trPr>
          <w:jc w:val="center"/>
        </w:trPr>
        <w:tc>
          <w:tcPr>
            <w:tcW w:w="2972" w:type="dxa"/>
            <w:gridSpan w:val="2"/>
            <w:vAlign w:val="center"/>
          </w:tcPr>
          <w:p w14:paraId="40496FB4" w14:textId="77777777" w:rsidR="00B76B8F" w:rsidRP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Podprogram II</w:t>
            </w:r>
          </w:p>
          <w:p w14:paraId="5C4F30DE" w14:textId="77777777" w:rsidR="00B76B8F" w:rsidRP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6512A4BD" w14:textId="77777777" w:rsid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</w:p>
          <w:p w14:paraId="1746DCAD" w14:textId="77777777" w:rsidR="00B76B8F" w:rsidRP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Malý</w:t>
            </w:r>
          </w:p>
          <w:p w14:paraId="148C8F8C" w14:textId="77777777" w:rsidR="00B76B8F" w:rsidRP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podnik</w:t>
            </w:r>
          </w:p>
          <w:p w14:paraId="6F6BB843" w14:textId="77777777" w:rsidR="00B76B8F" w:rsidRP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1288CA58" w14:textId="77777777" w:rsid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</w:p>
          <w:p w14:paraId="24C749F1" w14:textId="77777777" w:rsidR="00B76B8F" w:rsidRP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Střední</w:t>
            </w:r>
          </w:p>
          <w:p w14:paraId="0C6C7054" w14:textId="77777777" w:rsidR="00B76B8F" w:rsidRP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podnik</w:t>
            </w:r>
          </w:p>
          <w:p w14:paraId="371E0ED3" w14:textId="77777777" w:rsidR="00B76B8F" w:rsidRP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vAlign w:val="center"/>
          </w:tcPr>
          <w:p w14:paraId="172B72FF" w14:textId="77777777" w:rsidR="00B76B8F" w:rsidRP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Velký</w:t>
            </w:r>
          </w:p>
          <w:p w14:paraId="78E758E8" w14:textId="77777777" w:rsidR="00B76B8F" w:rsidRP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podnik</w:t>
            </w:r>
          </w:p>
        </w:tc>
        <w:tc>
          <w:tcPr>
            <w:tcW w:w="1007" w:type="dxa"/>
            <w:vAlign w:val="center"/>
          </w:tcPr>
          <w:p w14:paraId="5E4AA5EE" w14:textId="77777777" w:rsidR="00B76B8F" w:rsidRP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VO</w:t>
            </w:r>
          </w:p>
        </w:tc>
        <w:tc>
          <w:tcPr>
            <w:tcW w:w="1256" w:type="dxa"/>
            <w:vAlign w:val="center"/>
          </w:tcPr>
          <w:p w14:paraId="70CC79CB" w14:textId="77777777" w:rsidR="00B76B8F" w:rsidRP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Celkem</w:t>
            </w:r>
          </w:p>
          <w:p w14:paraId="6F6954E2" w14:textId="77777777" w:rsidR="00B76B8F" w:rsidRP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za</w:t>
            </w:r>
          </w:p>
          <w:p w14:paraId="36EA50EC" w14:textId="77777777" w:rsidR="00B76B8F" w:rsidRP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projekt</w:t>
            </w:r>
          </w:p>
        </w:tc>
      </w:tr>
      <w:tr w:rsidR="00B76B8F" w14:paraId="5C5A7F2B" w14:textId="77777777" w:rsidTr="00B76B8F">
        <w:trPr>
          <w:jc w:val="center"/>
        </w:trPr>
        <w:tc>
          <w:tcPr>
            <w:tcW w:w="2972" w:type="dxa"/>
            <w:gridSpan w:val="2"/>
            <w:vAlign w:val="center"/>
          </w:tcPr>
          <w:p w14:paraId="6CD43B5A" w14:textId="77777777" w:rsidR="00B76B8F" w:rsidRPr="00B76B8F" w:rsidRDefault="00B76B8F" w:rsidP="00B76B8F">
            <w:pPr>
              <w:pStyle w:val="Odstavecseseznamem"/>
              <w:numPr>
                <w:ilvl w:val="0"/>
                <w:numId w:val="36"/>
              </w:numPr>
              <w:spacing w:line="100" w:lineRule="atLeast"/>
              <w:jc w:val="both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Příjemce pouze VO</w:t>
            </w:r>
          </w:p>
          <w:p w14:paraId="24F5D1F9" w14:textId="77777777" w:rsidR="00B76B8F" w:rsidRPr="00B76B8F" w:rsidRDefault="00B76B8F" w:rsidP="00B76B8F">
            <w:pPr>
              <w:pStyle w:val="Odstavecseseznamem"/>
              <w:spacing w:line="100" w:lineRule="atLeast"/>
              <w:jc w:val="both"/>
              <w:rPr>
                <w:rFonts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0585150D" w14:textId="77777777" w:rsidR="00B76B8F" w:rsidRP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14:paraId="5D855429" w14:textId="77777777" w:rsidR="00B76B8F" w:rsidRP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-</w:t>
            </w:r>
          </w:p>
        </w:tc>
        <w:tc>
          <w:tcPr>
            <w:tcW w:w="1275" w:type="dxa"/>
            <w:vAlign w:val="center"/>
          </w:tcPr>
          <w:p w14:paraId="5EFA8AD3" w14:textId="77777777" w:rsidR="00B76B8F" w:rsidRP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-</w:t>
            </w:r>
          </w:p>
        </w:tc>
        <w:tc>
          <w:tcPr>
            <w:tcW w:w="1007" w:type="dxa"/>
            <w:vAlign w:val="center"/>
          </w:tcPr>
          <w:p w14:paraId="4CACAA00" w14:textId="77777777" w:rsidR="00B76B8F" w:rsidRP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100 %</w:t>
            </w:r>
          </w:p>
        </w:tc>
        <w:tc>
          <w:tcPr>
            <w:tcW w:w="1256" w:type="dxa"/>
            <w:vAlign w:val="center"/>
          </w:tcPr>
          <w:p w14:paraId="1702AAAD" w14:textId="77777777" w:rsidR="00B76B8F" w:rsidRP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100 %</w:t>
            </w:r>
          </w:p>
        </w:tc>
      </w:tr>
      <w:tr w:rsidR="00B76B8F" w14:paraId="24EF9D4A" w14:textId="77777777" w:rsidTr="00B76B8F">
        <w:trPr>
          <w:jc w:val="center"/>
        </w:trPr>
        <w:tc>
          <w:tcPr>
            <w:tcW w:w="9062" w:type="dxa"/>
            <w:gridSpan w:val="7"/>
            <w:vAlign w:val="center"/>
          </w:tcPr>
          <w:p w14:paraId="16CD8A09" w14:textId="77777777" w:rsidR="00B76B8F" w:rsidRPr="00B76B8F" w:rsidRDefault="00B76B8F" w:rsidP="00B76B8F">
            <w:pPr>
              <w:pStyle w:val="Odstavecseseznamem"/>
              <w:numPr>
                <w:ilvl w:val="0"/>
                <w:numId w:val="36"/>
              </w:numPr>
              <w:spacing w:line="100" w:lineRule="atLeast"/>
              <w:jc w:val="both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Příjemce VO a podnik</w:t>
            </w:r>
          </w:p>
          <w:p w14:paraId="663546F2" w14:textId="77777777" w:rsidR="00B76B8F" w:rsidRPr="00B76B8F" w:rsidRDefault="00B76B8F" w:rsidP="00B76B8F">
            <w:pPr>
              <w:pStyle w:val="Odstavecseseznamem"/>
              <w:spacing w:line="100" w:lineRule="atLeast"/>
              <w:jc w:val="both"/>
              <w:rPr>
                <w:rFonts w:cstheme="minorHAnsi"/>
                <w:b/>
              </w:rPr>
            </w:pPr>
          </w:p>
        </w:tc>
      </w:tr>
      <w:tr w:rsidR="00B76B8F" w14:paraId="03EBDDB4" w14:textId="77777777" w:rsidTr="00B76B8F">
        <w:trPr>
          <w:jc w:val="center"/>
        </w:trPr>
        <w:tc>
          <w:tcPr>
            <w:tcW w:w="1606" w:type="dxa"/>
            <w:vMerge w:val="restart"/>
            <w:vAlign w:val="center"/>
          </w:tcPr>
          <w:p w14:paraId="1771DE87" w14:textId="77777777" w:rsidR="00B76B8F" w:rsidRPr="00B76B8F" w:rsidRDefault="00B76B8F" w:rsidP="002043FB">
            <w:pPr>
              <w:spacing w:line="100" w:lineRule="atLeast"/>
              <w:jc w:val="both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Průmyslový výzkum</w:t>
            </w:r>
          </w:p>
        </w:tc>
        <w:tc>
          <w:tcPr>
            <w:tcW w:w="1366" w:type="dxa"/>
            <w:vAlign w:val="center"/>
          </w:tcPr>
          <w:p w14:paraId="06728ED4" w14:textId="77777777" w:rsidR="00B76B8F" w:rsidRPr="00B76B8F" w:rsidRDefault="00B76B8F" w:rsidP="002043FB">
            <w:pPr>
              <w:spacing w:line="100" w:lineRule="atLeast"/>
              <w:jc w:val="both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Při zohlednění příplatků MSP</w:t>
            </w:r>
          </w:p>
        </w:tc>
        <w:tc>
          <w:tcPr>
            <w:tcW w:w="1276" w:type="dxa"/>
            <w:vAlign w:val="center"/>
          </w:tcPr>
          <w:p w14:paraId="73DE0DD0" w14:textId="77777777" w:rsidR="00B76B8F" w:rsidRP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70 %</w:t>
            </w:r>
          </w:p>
        </w:tc>
        <w:tc>
          <w:tcPr>
            <w:tcW w:w="1276" w:type="dxa"/>
            <w:vAlign w:val="center"/>
          </w:tcPr>
          <w:p w14:paraId="28C4EA9C" w14:textId="77777777" w:rsidR="00B76B8F" w:rsidRP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60 %</w:t>
            </w:r>
          </w:p>
        </w:tc>
        <w:tc>
          <w:tcPr>
            <w:tcW w:w="1275" w:type="dxa"/>
            <w:vAlign w:val="center"/>
          </w:tcPr>
          <w:p w14:paraId="25693ADD" w14:textId="77777777" w:rsidR="00B76B8F" w:rsidRP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50 %</w:t>
            </w:r>
          </w:p>
        </w:tc>
        <w:tc>
          <w:tcPr>
            <w:tcW w:w="1007" w:type="dxa"/>
            <w:vMerge w:val="restart"/>
            <w:vAlign w:val="center"/>
          </w:tcPr>
          <w:p w14:paraId="5104021B" w14:textId="77777777" w:rsidR="00B76B8F" w:rsidRP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100 %</w:t>
            </w:r>
          </w:p>
        </w:tc>
        <w:tc>
          <w:tcPr>
            <w:tcW w:w="1256" w:type="dxa"/>
            <w:vMerge w:val="restart"/>
            <w:vAlign w:val="center"/>
          </w:tcPr>
          <w:p w14:paraId="21D1AD23" w14:textId="77777777" w:rsidR="00B76B8F" w:rsidRP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-</w:t>
            </w:r>
          </w:p>
        </w:tc>
      </w:tr>
      <w:tr w:rsidR="00B76B8F" w14:paraId="741275AC" w14:textId="77777777" w:rsidTr="00B76B8F">
        <w:trPr>
          <w:jc w:val="center"/>
        </w:trPr>
        <w:tc>
          <w:tcPr>
            <w:tcW w:w="1606" w:type="dxa"/>
            <w:vMerge/>
            <w:vAlign w:val="center"/>
          </w:tcPr>
          <w:p w14:paraId="0AA4E888" w14:textId="77777777" w:rsidR="00B76B8F" w:rsidRPr="00B76B8F" w:rsidRDefault="00B76B8F" w:rsidP="002043FB">
            <w:pPr>
              <w:spacing w:line="100" w:lineRule="atLeast"/>
              <w:jc w:val="both"/>
              <w:rPr>
                <w:rFonts w:cstheme="minorHAnsi"/>
                <w:b/>
              </w:rPr>
            </w:pPr>
          </w:p>
        </w:tc>
        <w:tc>
          <w:tcPr>
            <w:tcW w:w="1366" w:type="dxa"/>
            <w:vAlign w:val="center"/>
          </w:tcPr>
          <w:p w14:paraId="73796E56" w14:textId="77777777" w:rsidR="00B76B8F" w:rsidRPr="00B76B8F" w:rsidRDefault="00B76B8F" w:rsidP="002043FB">
            <w:pPr>
              <w:spacing w:line="100" w:lineRule="atLeast"/>
              <w:jc w:val="both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Při doložení účinné spolupráce s VO</w:t>
            </w:r>
          </w:p>
        </w:tc>
        <w:tc>
          <w:tcPr>
            <w:tcW w:w="1276" w:type="dxa"/>
            <w:vAlign w:val="center"/>
          </w:tcPr>
          <w:p w14:paraId="148ADDA5" w14:textId="77777777" w:rsidR="00B76B8F" w:rsidRP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80 %</w:t>
            </w:r>
          </w:p>
        </w:tc>
        <w:tc>
          <w:tcPr>
            <w:tcW w:w="1276" w:type="dxa"/>
            <w:vAlign w:val="center"/>
          </w:tcPr>
          <w:p w14:paraId="2E65B4EC" w14:textId="77777777" w:rsidR="00B76B8F" w:rsidRP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75 %</w:t>
            </w:r>
          </w:p>
        </w:tc>
        <w:tc>
          <w:tcPr>
            <w:tcW w:w="1275" w:type="dxa"/>
            <w:vAlign w:val="center"/>
          </w:tcPr>
          <w:p w14:paraId="0EDA7B22" w14:textId="77777777" w:rsidR="00B76B8F" w:rsidRP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65 %</w:t>
            </w:r>
          </w:p>
        </w:tc>
        <w:tc>
          <w:tcPr>
            <w:tcW w:w="1007" w:type="dxa"/>
            <w:vMerge/>
            <w:vAlign w:val="center"/>
          </w:tcPr>
          <w:p w14:paraId="6EB28012" w14:textId="77777777" w:rsidR="00B76B8F" w:rsidRP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256" w:type="dxa"/>
            <w:vMerge/>
            <w:vAlign w:val="center"/>
          </w:tcPr>
          <w:p w14:paraId="50E81FA2" w14:textId="77777777" w:rsidR="00B76B8F" w:rsidRP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</w:p>
        </w:tc>
      </w:tr>
      <w:tr w:rsidR="00B76B8F" w14:paraId="496AC4A0" w14:textId="77777777" w:rsidTr="00B76B8F">
        <w:trPr>
          <w:jc w:val="center"/>
        </w:trPr>
        <w:tc>
          <w:tcPr>
            <w:tcW w:w="1606" w:type="dxa"/>
            <w:vMerge w:val="restart"/>
            <w:shd w:val="clear" w:color="auto" w:fill="auto"/>
            <w:vAlign w:val="center"/>
          </w:tcPr>
          <w:p w14:paraId="03392FF0" w14:textId="77777777" w:rsidR="00B76B8F" w:rsidRPr="00B76B8F" w:rsidRDefault="00B76B8F" w:rsidP="00B76B8F">
            <w:pPr>
              <w:spacing w:line="100" w:lineRule="atLeast"/>
              <w:jc w:val="both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Experimentální vývoj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3F0C5C1" w14:textId="77777777" w:rsidR="00B76B8F" w:rsidRPr="00B76B8F" w:rsidRDefault="00B76B8F" w:rsidP="00B76B8F">
            <w:pPr>
              <w:spacing w:line="100" w:lineRule="atLeast"/>
              <w:jc w:val="both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Při zohlednění příplatků MSP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DF6678" w14:textId="77777777" w:rsidR="00B76B8F" w:rsidRP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45 %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6ABC8C" w14:textId="77777777" w:rsidR="00B76B8F" w:rsidRP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35 %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D00E1D" w14:textId="77777777" w:rsidR="00B76B8F" w:rsidRP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25 %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14:paraId="78BA64C5" w14:textId="77777777" w:rsidR="00B76B8F" w:rsidRP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100 %</w:t>
            </w:r>
          </w:p>
        </w:tc>
        <w:tc>
          <w:tcPr>
            <w:tcW w:w="1256" w:type="dxa"/>
            <w:vMerge w:val="restart"/>
            <w:vAlign w:val="center"/>
          </w:tcPr>
          <w:p w14:paraId="21B8CBAF" w14:textId="77777777" w:rsidR="00B76B8F" w:rsidRP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-</w:t>
            </w:r>
          </w:p>
        </w:tc>
      </w:tr>
      <w:tr w:rsidR="00B76B8F" w14:paraId="35D75E4A" w14:textId="77777777" w:rsidTr="00B76B8F">
        <w:trPr>
          <w:jc w:val="center"/>
        </w:trPr>
        <w:tc>
          <w:tcPr>
            <w:tcW w:w="1606" w:type="dxa"/>
            <w:vMerge/>
            <w:vAlign w:val="center"/>
          </w:tcPr>
          <w:p w14:paraId="200615FA" w14:textId="77777777" w:rsidR="00B76B8F" w:rsidRDefault="00B76B8F" w:rsidP="00B76B8F">
            <w:pPr>
              <w:spacing w:line="100" w:lineRule="atLeast"/>
              <w:jc w:val="both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2485E838" w14:textId="77777777" w:rsidR="00B76B8F" w:rsidRPr="00B76B8F" w:rsidRDefault="00B76B8F" w:rsidP="00B76B8F">
            <w:pPr>
              <w:spacing w:line="100" w:lineRule="atLeast"/>
              <w:jc w:val="both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Při doložení účinné spolupráce s 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2A825D" w14:textId="77777777" w:rsidR="00B76B8F" w:rsidRP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60 %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D7F158" w14:textId="77777777" w:rsidR="00B76B8F" w:rsidRP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50 %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52825B" w14:textId="77777777" w:rsidR="00B76B8F" w:rsidRPr="00B76B8F" w:rsidRDefault="00B76B8F" w:rsidP="00B76B8F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B76B8F">
              <w:rPr>
                <w:rFonts w:cstheme="minorHAnsi"/>
                <w:b/>
              </w:rPr>
              <w:t>40 %</w:t>
            </w:r>
          </w:p>
        </w:tc>
        <w:tc>
          <w:tcPr>
            <w:tcW w:w="1007" w:type="dxa"/>
            <w:vMerge/>
            <w:vAlign w:val="center"/>
          </w:tcPr>
          <w:p w14:paraId="745F982D" w14:textId="77777777" w:rsidR="00B76B8F" w:rsidRDefault="00B76B8F" w:rsidP="00B76B8F">
            <w:pPr>
              <w:spacing w:line="100" w:lineRule="atLeast"/>
              <w:jc w:val="both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256" w:type="dxa"/>
            <w:vMerge/>
            <w:vAlign w:val="center"/>
          </w:tcPr>
          <w:p w14:paraId="125DDC41" w14:textId="77777777" w:rsidR="00B76B8F" w:rsidRDefault="00B76B8F" w:rsidP="00B76B8F">
            <w:pPr>
              <w:spacing w:line="100" w:lineRule="atLeast"/>
              <w:jc w:val="both"/>
              <w:rPr>
                <w:rFonts w:cstheme="minorHAnsi"/>
                <w:b/>
                <w:highlight w:val="yellow"/>
              </w:rPr>
            </w:pPr>
          </w:p>
        </w:tc>
      </w:tr>
    </w:tbl>
    <w:p w14:paraId="22490AF6" w14:textId="77777777" w:rsidR="00B76B8F" w:rsidRDefault="00B76B8F" w:rsidP="002043FB">
      <w:pPr>
        <w:spacing w:line="100" w:lineRule="atLeast"/>
        <w:jc w:val="both"/>
        <w:rPr>
          <w:rFonts w:cstheme="minorHAnsi"/>
          <w:b/>
          <w:highlight w:val="yellow"/>
        </w:rPr>
      </w:pPr>
    </w:p>
    <w:p w14:paraId="67363D2E" w14:textId="77777777" w:rsidR="00B76B8F" w:rsidRPr="00B76B8F" w:rsidRDefault="00B76B8F" w:rsidP="00B76B8F">
      <w:pPr>
        <w:jc w:val="both"/>
      </w:pPr>
      <w:r w:rsidRPr="00B76B8F">
        <w:lastRenderedPageBreak/>
        <w:t xml:space="preserve">Účinná spolupráce podniků a výzkumných organizací je definována čl. 2 odst. 90 GBER, </w:t>
      </w:r>
    </w:p>
    <w:p w14:paraId="26D6084C" w14:textId="77777777" w:rsidR="00B76B8F" w:rsidRPr="00B76B8F" w:rsidRDefault="00B76B8F" w:rsidP="00B76B8F">
      <w:pPr>
        <w:jc w:val="both"/>
      </w:pPr>
      <w:r w:rsidRPr="00B76B8F">
        <w:t>resp. bodu 1.3. odst. 16 písm. h) Rámce.</w:t>
      </w:r>
    </w:p>
    <w:p w14:paraId="7C090560" w14:textId="77777777" w:rsidR="00B76B8F" w:rsidRPr="00B76B8F" w:rsidRDefault="00B76B8F" w:rsidP="00B76B8F">
      <w:pPr>
        <w:jc w:val="both"/>
      </w:pPr>
      <w:r w:rsidRPr="00B76B8F">
        <w:t xml:space="preserve"> Pro doložení účinné spolupráce musí být splněny následující podmínky:</w:t>
      </w:r>
    </w:p>
    <w:p w14:paraId="012035CE" w14:textId="77777777" w:rsidR="00B76B8F" w:rsidRDefault="00B76B8F" w:rsidP="00B76B8F">
      <w:pPr>
        <w:pStyle w:val="Odstavecseseznamem"/>
        <w:numPr>
          <w:ilvl w:val="0"/>
          <w:numId w:val="35"/>
        </w:numPr>
        <w:jc w:val="both"/>
      </w:pPr>
      <w:r w:rsidRPr="00B76B8F">
        <w:t>Náklady alespoň jedné výzkumné organizace musí tvořit alespoň 10 % celkových způsobilých nákladů projektu. Nezávisle na způsobu financování – z dotace či vlastních zdrojů.</w:t>
      </w:r>
    </w:p>
    <w:p w14:paraId="4BBCD21D" w14:textId="77777777" w:rsidR="00B76B8F" w:rsidRPr="00B76B8F" w:rsidRDefault="00B76B8F" w:rsidP="00B76B8F">
      <w:pPr>
        <w:pStyle w:val="Odstavecseseznamem"/>
        <w:numPr>
          <w:ilvl w:val="0"/>
          <w:numId w:val="35"/>
        </w:numPr>
        <w:jc w:val="both"/>
      </w:pPr>
      <w:r w:rsidRPr="00B76B8F">
        <w:t>Zároveň při účasti více podniků musí být alespoň jeden z nich malý nebo střední podnik. Náklady žádného z podniků nemohou tvořit více než 70 % způsobilých nákladů projektu.</w:t>
      </w:r>
    </w:p>
    <w:p w14:paraId="25D577CF" w14:textId="77777777" w:rsidR="00B76B8F" w:rsidRPr="00B76B8F" w:rsidRDefault="00B76B8F" w:rsidP="00B76B8F">
      <w:pPr>
        <w:jc w:val="both"/>
      </w:pPr>
      <w:r w:rsidRPr="00B76B8F">
        <w:t xml:space="preserve">Za účinnou spolupráci podniků s výzkumnou organizací není považována spolupráce </w:t>
      </w:r>
    </w:p>
    <w:p w14:paraId="0961F3E7" w14:textId="77777777" w:rsidR="00B76B8F" w:rsidRPr="00B76B8F" w:rsidRDefault="00B76B8F" w:rsidP="00B76B8F">
      <w:pPr>
        <w:jc w:val="both"/>
      </w:pPr>
      <w:r w:rsidRPr="00B76B8F">
        <w:t>propojených nebo partnerských podniků.</w:t>
      </w:r>
    </w:p>
    <w:p w14:paraId="0DD6A523" w14:textId="77777777" w:rsidR="00B76B8F" w:rsidRPr="00827BC3" w:rsidRDefault="00B76B8F" w:rsidP="002043FB">
      <w:pPr>
        <w:spacing w:line="100" w:lineRule="atLeast"/>
        <w:jc w:val="both"/>
        <w:rPr>
          <w:rFonts w:cstheme="minorHAnsi"/>
          <w:b/>
          <w:highlight w:val="yellow"/>
        </w:rPr>
      </w:pPr>
    </w:p>
    <w:p w14:paraId="7E89D660" w14:textId="77777777" w:rsidR="005E71F4" w:rsidRPr="00827BC3" w:rsidRDefault="00FE3CFC" w:rsidP="002043FB">
      <w:pPr>
        <w:jc w:val="both"/>
        <w:rPr>
          <w:rFonts w:cstheme="minorHAnsi"/>
          <w:b/>
          <w:color w:val="1F4E79" w:themeColor="accent1" w:themeShade="80"/>
          <w:sz w:val="28"/>
          <w:szCs w:val="28"/>
        </w:rPr>
      </w:pPr>
      <w:r w:rsidRPr="00827BC3">
        <w:rPr>
          <w:rFonts w:cstheme="minorHAnsi"/>
          <w:b/>
          <w:color w:val="1F4E79" w:themeColor="accent1" w:themeShade="80"/>
          <w:sz w:val="28"/>
          <w:szCs w:val="28"/>
        </w:rPr>
        <w:t xml:space="preserve">Způsobilé náklady: </w:t>
      </w:r>
    </w:p>
    <w:p w14:paraId="08F21697" w14:textId="77777777" w:rsidR="00FE3CFC" w:rsidRPr="00827BC3" w:rsidRDefault="00FE3CFC" w:rsidP="002043FB">
      <w:pPr>
        <w:pStyle w:val="Default"/>
        <w:numPr>
          <w:ilvl w:val="0"/>
          <w:numId w:val="22"/>
        </w:numPr>
        <w:spacing w:after="178"/>
        <w:jc w:val="both"/>
        <w:rPr>
          <w:rFonts w:asciiTheme="minorHAnsi" w:hAnsiTheme="minorHAnsi" w:cstheme="minorHAnsi"/>
          <w:sz w:val="22"/>
          <w:szCs w:val="22"/>
        </w:rPr>
      </w:pPr>
      <w:r w:rsidRPr="00827BC3">
        <w:rPr>
          <w:rFonts w:asciiTheme="minorHAnsi" w:hAnsiTheme="minorHAnsi" w:cstheme="minorHAnsi"/>
          <w:sz w:val="22"/>
          <w:szCs w:val="22"/>
        </w:rPr>
        <w:t xml:space="preserve">osobní náklady; </w:t>
      </w:r>
    </w:p>
    <w:p w14:paraId="4A59601E" w14:textId="77777777" w:rsidR="00FE3CFC" w:rsidRPr="00827BC3" w:rsidRDefault="00FE3CFC" w:rsidP="002043FB">
      <w:pPr>
        <w:pStyle w:val="Default"/>
        <w:numPr>
          <w:ilvl w:val="0"/>
          <w:numId w:val="22"/>
        </w:numPr>
        <w:spacing w:after="178"/>
        <w:jc w:val="both"/>
        <w:rPr>
          <w:rFonts w:asciiTheme="minorHAnsi" w:hAnsiTheme="minorHAnsi" w:cstheme="minorHAnsi"/>
          <w:sz w:val="22"/>
          <w:szCs w:val="22"/>
        </w:rPr>
      </w:pPr>
      <w:r w:rsidRPr="00827BC3">
        <w:rPr>
          <w:rFonts w:asciiTheme="minorHAnsi" w:hAnsiTheme="minorHAnsi" w:cstheme="minorHAnsi"/>
          <w:sz w:val="22"/>
          <w:szCs w:val="22"/>
        </w:rPr>
        <w:t>náklady na subdodávky</w:t>
      </w:r>
      <w:r w:rsidR="005D1D65">
        <w:rPr>
          <w:rFonts w:asciiTheme="minorHAnsi" w:hAnsiTheme="minorHAnsi" w:cstheme="minorHAnsi"/>
          <w:sz w:val="22"/>
          <w:szCs w:val="22"/>
        </w:rPr>
        <w:t xml:space="preserve"> – max 20 % </w:t>
      </w:r>
      <w:r w:rsidR="005D1D65" w:rsidRPr="005D1D65">
        <w:rPr>
          <w:rFonts w:asciiTheme="minorHAnsi" w:hAnsiTheme="minorHAnsi" w:cstheme="minorHAnsi"/>
          <w:sz w:val="22"/>
          <w:szCs w:val="22"/>
        </w:rPr>
        <w:t>z celkových uznaných nákladů všech účastníků projektu za celou dobu řešení</w:t>
      </w:r>
      <w:r w:rsidRPr="00827BC3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61C940C1" w14:textId="77777777" w:rsidR="00FE3CFC" w:rsidRPr="00827BC3" w:rsidRDefault="00FE3CFC" w:rsidP="002043FB">
      <w:pPr>
        <w:pStyle w:val="Default"/>
        <w:numPr>
          <w:ilvl w:val="0"/>
          <w:numId w:val="22"/>
        </w:numPr>
        <w:spacing w:after="178"/>
        <w:jc w:val="both"/>
        <w:rPr>
          <w:rFonts w:asciiTheme="minorHAnsi" w:hAnsiTheme="minorHAnsi" w:cstheme="minorHAnsi"/>
          <w:sz w:val="22"/>
          <w:szCs w:val="22"/>
        </w:rPr>
      </w:pPr>
      <w:r w:rsidRPr="00827BC3">
        <w:rPr>
          <w:rFonts w:asciiTheme="minorHAnsi" w:hAnsiTheme="minorHAnsi" w:cstheme="minorHAnsi"/>
          <w:sz w:val="22"/>
          <w:szCs w:val="22"/>
        </w:rPr>
        <w:t xml:space="preserve">ostatní přímé náklady; </w:t>
      </w:r>
    </w:p>
    <w:p w14:paraId="00C60E80" w14:textId="77777777" w:rsidR="00545EB6" w:rsidRDefault="00FE3CFC" w:rsidP="002043FB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7BC3">
        <w:rPr>
          <w:rFonts w:asciiTheme="minorHAnsi" w:hAnsiTheme="minorHAnsi" w:cstheme="minorHAnsi"/>
          <w:sz w:val="22"/>
          <w:szCs w:val="22"/>
        </w:rPr>
        <w:t>nepřímé náklady</w:t>
      </w:r>
      <w:r w:rsidR="00B97E24" w:rsidRPr="00827BC3">
        <w:rPr>
          <w:rFonts w:asciiTheme="minorHAnsi" w:hAnsiTheme="minorHAnsi" w:cstheme="minorHAnsi"/>
          <w:sz w:val="22"/>
          <w:szCs w:val="22"/>
        </w:rPr>
        <w:t>/režie</w:t>
      </w:r>
      <w:r w:rsidR="006147C0">
        <w:rPr>
          <w:rFonts w:asciiTheme="minorHAnsi" w:hAnsiTheme="minorHAnsi" w:cstheme="minorHAnsi"/>
          <w:sz w:val="22"/>
          <w:szCs w:val="22"/>
        </w:rPr>
        <w:t xml:space="preserve"> – pouze </w:t>
      </w:r>
      <w:proofErr w:type="spellStart"/>
      <w:r w:rsidR="006147C0">
        <w:rPr>
          <w:rFonts w:asciiTheme="minorHAnsi" w:hAnsiTheme="minorHAnsi" w:cstheme="minorHAnsi"/>
          <w:sz w:val="22"/>
          <w:szCs w:val="22"/>
        </w:rPr>
        <w:t>flatrate</w:t>
      </w:r>
      <w:proofErr w:type="spellEnd"/>
      <w:r w:rsidR="006147C0">
        <w:rPr>
          <w:rFonts w:asciiTheme="minorHAnsi" w:hAnsiTheme="minorHAnsi" w:cstheme="minorHAnsi"/>
          <w:sz w:val="22"/>
          <w:szCs w:val="22"/>
        </w:rPr>
        <w:t xml:space="preserve"> do výše 25 %</w:t>
      </w:r>
      <w:r w:rsidRPr="00827BC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926E492" w14:textId="77777777" w:rsidR="002965F7" w:rsidRDefault="002965F7" w:rsidP="002965F7">
      <w:pPr>
        <w:pStyle w:val="Default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741B84FC" w14:textId="77777777" w:rsidR="002965F7" w:rsidRDefault="002965F7" w:rsidP="002965F7">
      <w:pPr>
        <w:jc w:val="both"/>
        <w:rPr>
          <w:rFonts w:cstheme="minorHAnsi"/>
        </w:rPr>
      </w:pPr>
      <w:r w:rsidRPr="002965F7">
        <w:rPr>
          <w:rFonts w:cstheme="minorHAnsi"/>
        </w:rPr>
        <w:t>V případě, že příjemce/další účastník projektu je plátcem daně z přidané hodnoty a má nárok na odpočet daně dle zákona č. 235/2004 Sb., o dani z přidané hodnoty, v platném znění, nelze tuto daň z přidané hodnoty považovat za způsobilý náklad.</w:t>
      </w:r>
    </w:p>
    <w:p w14:paraId="5EC9BBF2" w14:textId="77777777" w:rsidR="005D1D65" w:rsidRDefault="005D1D65" w:rsidP="0094431F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Bližší specifikaci nákladů naleznete v dokumentu Všeobecné podmínky.</w:t>
      </w:r>
    </w:p>
    <w:p w14:paraId="7C3C0B40" w14:textId="77777777" w:rsidR="005D1D65" w:rsidRPr="002965F7" w:rsidRDefault="005D1D65" w:rsidP="0094431F">
      <w:pPr>
        <w:jc w:val="both"/>
        <w:rPr>
          <w:rFonts w:cstheme="minorHAnsi"/>
          <w:color w:val="000000"/>
        </w:rPr>
      </w:pPr>
    </w:p>
    <w:p w14:paraId="26889C60" w14:textId="77777777" w:rsidR="00894BEB" w:rsidRPr="002043FB" w:rsidRDefault="00894BEB" w:rsidP="002043FB">
      <w:pPr>
        <w:jc w:val="both"/>
        <w:rPr>
          <w:rFonts w:cstheme="minorHAnsi"/>
          <w:b/>
          <w:color w:val="1F4E79" w:themeColor="accent1" w:themeShade="80"/>
          <w:sz w:val="28"/>
          <w:szCs w:val="28"/>
        </w:rPr>
      </w:pPr>
      <w:r w:rsidRPr="002043FB">
        <w:rPr>
          <w:rFonts w:cstheme="minorHAnsi"/>
          <w:b/>
          <w:color w:val="1F4E79" w:themeColor="accent1" w:themeShade="80"/>
          <w:sz w:val="28"/>
          <w:szCs w:val="28"/>
        </w:rPr>
        <w:t>Požadavky na způsobilost:</w:t>
      </w:r>
    </w:p>
    <w:p w14:paraId="61E3C7BE" w14:textId="77777777" w:rsidR="00F114DA" w:rsidRDefault="00894BEB" w:rsidP="002043FB">
      <w:pPr>
        <w:jc w:val="both"/>
        <w:rPr>
          <w:rFonts w:cstheme="minorHAnsi"/>
          <w:b/>
        </w:rPr>
      </w:pPr>
      <w:r w:rsidRPr="002043FB">
        <w:rPr>
          <w:rFonts w:cstheme="minorHAnsi"/>
          <w:b/>
        </w:rPr>
        <w:t xml:space="preserve">Čestné prohlášení </w:t>
      </w:r>
      <w:r w:rsidR="00D3614E">
        <w:rPr>
          <w:rFonts w:cstheme="minorHAnsi"/>
          <w:b/>
        </w:rPr>
        <w:t xml:space="preserve">prokázání způsobilosti dle § 18 zákona č. 130/2002 Sb. </w:t>
      </w:r>
      <w:r w:rsidRPr="002043FB">
        <w:rPr>
          <w:rFonts w:cstheme="minorHAnsi"/>
          <w:b/>
        </w:rPr>
        <w:t xml:space="preserve">za uchazeče </w:t>
      </w:r>
      <w:r w:rsidR="00A62551">
        <w:rPr>
          <w:rFonts w:cstheme="minorHAnsi"/>
          <w:b/>
        </w:rPr>
        <w:t xml:space="preserve">(VUT) </w:t>
      </w:r>
      <w:r w:rsidRPr="002043FB">
        <w:rPr>
          <w:rFonts w:cstheme="minorHAnsi"/>
          <w:b/>
        </w:rPr>
        <w:t>– bude zajištěno rektorátem prostřednictvím datové schránky centrálně za všechny projekty ve lhůtě stanovené poskytovatelem.</w:t>
      </w:r>
      <w:r w:rsidR="007E344D" w:rsidRPr="002043FB">
        <w:rPr>
          <w:rFonts w:cstheme="minorHAnsi"/>
          <w:b/>
        </w:rPr>
        <w:t xml:space="preserve"> </w:t>
      </w:r>
    </w:p>
    <w:p w14:paraId="7A72BF0D" w14:textId="77777777" w:rsidR="00894BEB" w:rsidRPr="002043FB" w:rsidRDefault="00AD0BCF" w:rsidP="002043FB">
      <w:pPr>
        <w:jc w:val="both"/>
        <w:rPr>
          <w:rFonts w:cstheme="minorHAnsi"/>
          <w:b/>
        </w:rPr>
      </w:pPr>
      <w:r w:rsidRPr="002043FB">
        <w:rPr>
          <w:rFonts w:cstheme="minorHAnsi"/>
          <w:b/>
        </w:rPr>
        <w:t>VUT splňuje povinnost zveřejnit účetní závěrku tím, že vydává výroční zprávu o hospodaření.</w:t>
      </w:r>
    </w:p>
    <w:p w14:paraId="1F185FAB" w14:textId="77777777" w:rsidR="002965F7" w:rsidRPr="0094431F" w:rsidRDefault="002965F7" w:rsidP="002043FB">
      <w:pPr>
        <w:jc w:val="both"/>
        <w:rPr>
          <w:rFonts w:cstheme="minorHAnsi"/>
          <w:b/>
          <w:color w:val="1F4E79" w:themeColor="accent1" w:themeShade="80"/>
          <w:szCs w:val="28"/>
        </w:rPr>
      </w:pPr>
    </w:p>
    <w:p w14:paraId="051AE609" w14:textId="77777777" w:rsidR="00894BEB" w:rsidRPr="002043FB" w:rsidRDefault="003206E0" w:rsidP="002043FB">
      <w:pPr>
        <w:jc w:val="both"/>
        <w:rPr>
          <w:rFonts w:cstheme="minorHAnsi"/>
          <w:b/>
          <w:color w:val="1F4E79" w:themeColor="accent1" w:themeShade="80"/>
          <w:sz w:val="28"/>
          <w:szCs w:val="28"/>
        </w:rPr>
      </w:pPr>
      <w:r w:rsidRPr="002043FB">
        <w:rPr>
          <w:rFonts w:cstheme="minorHAnsi"/>
          <w:b/>
          <w:color w:val="1F4E79" w:themeColor="accent1" w:themeShade="80"/>
          <w:sz w:val="28"/>
          <w:szCs w:val="28"/>
        </w:rPr>
        <w:t>Návrh projektu:</w:t>
      </w:r>
    </w:p>
    <w:p w14:paraId="73F7A29C" w14:textId="77777777" w:rsidR="00FB6013" w:rsidRPr="002043FB" w:rsidRDefault="00FB6013" w:rsidP="002043FB">
      <w:pPr>
        <w:jc w:val="both"/>
        <w:rPr>
          <w:rFonts w:cstheme="minorHAnsi"/>
        </w:rPr>
      </w:pPr>
      <w:r w:rsidRPr="002043FB">
        <w:rPr>
          <w:rFonts w:cstheme="minorHAnsi"/>
        </w:rPr>
        <w:t>Návrh projektu bude přijat do veřejné soutěže, pokud je podán elektronicky prostřednictvím informačního systému ISTA</w:t>
      </w:r>
      <w:r w:rsidR="00480718">
        <w:rPr>
          <w:rFonts w:cstheme="minorHAnsi"/>
        </w:rPr>
        <w:t>.</w:t>
      </w:r>
      <w:r w:rsidRPr="002043FB">
        <w:rPr>
          <w:rFonts w:cstheme="minorHAnsi"/>
        </w:rPr>
        <w:t xml:space="preserve"> Uchazeč je povinen uvést v rámci návrhu projektu:</w:t>
      </w:r>
    </w:p>
    <w:p w14:paraId="7E26357A" w14:textId="77777777" w:rsidR="00827BC3" w:rsidRDefault="00FB6013" w:rsidP="002043FB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</w:pPr>
      <w:r w:rsidRPr="00827BC3">
        <w:t xml:space="preserve">vlastnickou strukturu, tj. fyzické a právnické osoby s podílem v právnické osobě uchazeče; </w:t>
      </w:r>
    </w:p>
    <w:p w14:paraId="1ADE7E70" w14:textId="77777777" w:rsidR="00FB6013" w:rsidRPr="00827BC3" w:rsidRDefault="00FB6013" w:rsidP="002043FB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</w:pPr>
      <w:r w:rsidRPr="00827BC3">
        <w:rPr>
          <w:rFonts w:cstheme="minorHAnsi"/>
        </w:rPr>
        <w:t>údaje o majetkových účastech uchazeče v jiných právnických osobách a jejich výši.</w:t>
      </w:r>
    </w:p>
    <w:p w14:paraId="64A53E91" w14:textId="77777777" w:rsidR="00545EB6" w:rsidRPr="00545EB6" w:rsidRDefault="00545EB6" w:rsidP="00545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25E1D23" w14:textId="77777777" w:rsidR="00545EB6" w:rsidRPr="00545EB6" w:rsidRDefault="00545EB6" w:rsidP="00545EB6">
      <w:pPr>
        <w:jc w:val="both"/>
        <w:rPr>
          <w:rFonts w:cstheme="minorHAnsi"/>
        </w:rPr>
      </w:pPr>
      <w:r w:rsidRPr="00545EB6">
        <w:rPr>
          <w:rFonts w:cstheme="minorHAnsi"/>
        </w:rPr>
        <w:t xml:space="preserve">Po elektronickém odeslání návrhu projektu se hlavnímu uchazeči vygeneruje </w:t>
      </w:r>
      <w:r w:rsidRPr="00545EB6">
        <w:rPr>
          <w:rFonts w:cstheme="minorHAnsi"/>
          <w:b/>
        </w:rPr>
        <w:t>„Potvrzení podání elektronického návrhu projektu“.</w:t>
      </w:r>
      <w:r w:rsidRPr="00545EB6">
        <w:rPr>
          <w:rFonts w:cstheme="minorHAnsi"/>
        </w:rPr>
        <w:t xml:space="preserve"> Toto potvrzení zašle hlavní uchazeč prostřednictvím své datové </w:t>
      </w:r>
      <w:r w:rsidRPr="00545EB6">
        <w:rPr>
          <w:rFonts w:cstheme="minorHAnsi"/>
        </w:rPr>
        <w:lastRenderedPageBreak/>
        <w:t xml:space="preserve">schránky do datové schránky poskytovatele </w:t>
      </w:r>
      <w:r w:rsidRPr="00545EB6">
        <w:rPr>
          <w:rFonts w:cstheme="minorHAnsi"/>
          <w:b/>
        </w:rPr>
        <w:t>do 5. 6. 2024 do 23:59:59 hod</w:t>
      </w:r>
      <w:r w:rsidRPr="00545EB6">
        <w:rPr>
          <w:rFonts w:cstheme="minorHAnsi"/>
        </w:rPr>
        <w:t>. Rozhodující je datum odeslání z datové schránky hlavního uchazeče. V datovém poli zprávy „Věc“ bude uvedeno</w:t>
      </w:r>
      <w:r w:rsidRPr="00545EB6">
        <w:rPr>
          <w:rFonts w:cstheme="minorHAnsi"/>
          <w:b/>
        </w:rPr>
        <w:t xml:space="preserve"> „2. veřejná soutěž – Program ZEMĚ II – NÁVRH PROJEKTU“</w:t>
      </w:r>
      <w:r w:rsidRPr="00545EB6">
        <w:rPr>
          <w:rFonts w:cstheme="minorHAnsi"/>
        </w:rPr>
        <w:t xml:space="preserve">. </w:t>
      </w:r>
    </w:p>
    <w:p w14:paraId="5F90A719" w14:textId="77777777" w:rsidR="007E344D" w:rsidRPr="00545EB6" w:rsidRDefault="007E344D" w:rsidP="002043FB">
      <w:pPr>
        <w:jc w:val="both"/>
        <w:rPr>
          <w:rFonts w:cstheme="minorHAnsi"/>
        </w:rPr>
      </w:pPr>
    </w:p>
    <w:p w14:paraId="4B674CB0" w14:textId="77777777" w:rsidR="007E344D" w:rsidRPr="002043FB" w:rsidRDefault="007E344D" w:rsidP="002043FB">
      <w:pPr>
        <w:jc w:val="both"/>
        <w:rPr>
          <w:rFonts w:cstheme="minorHAnsi"/>
          <w:b/>
        </w:rPr>
      </w:pPr>
      <w:r w:rsidRPr="002043FB">
        <w:rPr>
          <w:rFonts w:cstheme="minorHAnsi"/>
          <w:b/>
        </w:rPr>
        <w:t>Důležité předpoklady dokladované prostřednictvím přílohy ISTA:</w:t>
      </w:r>
    </w:p>
    <w:p w14:paraId="54F5D746" w14:textId="77777777" w:rsidR="00FB6013" w:rsidRPr="002043FB" w:rsidRDefault="00FB6013" w:rsidP="002043FB">
      <w:pPr>
        <w:pStyle w:val="Odstavecseseznamem"/>
        <w:numPr>
          <w:ilvl w:val="0"/>
          <w:numId w:val="21"/>
        </w:numPr>
        <w:jc w:val="both"/>
        <w:rPr>
          <w:rFonts w:cstheme="minorHAnsi"/>
        </w:rPr>
      </w:pPr>
      <w:r w:rsidRPr="002043FB">
        <w:rPr>
          <w:rFonts w:cstheme="minorHAnsi"/>
        </w:rPr>
        <w:t>odborné předpoklady k řešení projektu podle § 18 odst. 2, písm. a) zákona č. 130/2002 Sb. se prokazují u členů řešitelského týmu v rámci návrhu projektu.</w:t>
      </w:r>
    </w:p>
    <w:p w14:paraId="76508260" w14:textId="77777777" w:rsidR="00270D1F" w:rsidRPr="001233CB" w:rsidRDefault="00FB6013" w:rsidP="002043FB">
      <w:pPr>
        <w:pStyle w:val="Odstavecseseznamem"/>
        <w:numPr>
          <w:ilvl w:val="0"/>
          <w:numId w:val="21"/>
        </w:numPr>
        <w:jc w:val="both"/>
        <w:rPr>
          <w:rFonts w:cstheme="minorHAnsi"/>
          <w:b/>
        </w:rPr>
      </w:pPr>
      <w:bookmarkStart w:id="0" w:name="_Hlk40291082"/>
      <w:r w:rsidRPr="001233CB">
        <w:rPr>
          <w:rFonts w:cstheme="minorHAnsi"/>
          <w:b/>
        </w:rPr>
        <w:t>u</w:t>
      </w:r>
      <w:r w:rsidR="00270D1F" w:rsidRPr="001233CB">
        <w:rPr>
          <w:rFonts w:cstheme="minorHAnsi"/>
          <w:b/>
        </w:rPr>
        <w:t>chazeč je povinen se vymezit vůči dalším projektům podaným do této veřejné soutěže, v nichž je hlavním uchazečem či ve kterých má být dalším účastníkem, mají-li obdobnou podstatu.</w:t>
      </w:r>
    </w:p>
    <w:bookmarkEnd w:id="0"/>
    <w:p w14:paraId="09A696F0" w14:textId="77777777" w:rsidR="007E344D" w:rsidRPr="002043FB" w:rsidRDefault="007E344D" w:rsidP="002043FB">
      <w:pPr>
        <w:jc w:val="both"/>
        <w:rPr>
          <w:rFonts w:cstheme="minorHAnsi"/>
          <w:highlight w:val="yellow"/>
        </w:rPr>
      </w:pPr>
    </w:p>
    <w:p w14:paraId="56F9249E" w14:textId="77777777" w:rsidR="003206E0" w:rsidRPr="002043FB" w:rsidRDefault="003206E0" w:rsidP="002043FB">
      <w:pPr>
        <w:jc w:val="both"/>
        <w:rPr>
          <w:rFonts w:cstheme="minorHAnsi"/>
          <w:b/>
        </w:rPr>
      </w:pPr>
      <w:r w:rsidRPr="002043FB">
        <w:rPr>
          <w:rFonts w:cstheme="minorHAnsi"/>
          <w:b/>
        </w:rPr>
        <w:t>Povinné přílohy:</w:t>
      </w:r>
    </w:p>
    <w:p w14:paraId="2EFE9A6A" w14:textId="77777777" w:rsidR="00FB6013" w:rsidRPr="002043FB" w:rsidRDefault="00FB6013" w:rsidP="002043FB">
      <w:pPr>
        <w:pStyle w:val="Odstavecseseznamem"/>
        <w:numPr>
          <w:ilvl w:val="0"/>
          <w:numId w:val="20"/>
        </w:numPr>
        <w:jc w:val="both"/>
        <w:rPr>
          <w:rFonts w:cstheme="minorHAnsi"/>
        </w:rPr>
      </w:pPr>
      <w:r w:rsidRPr="002043FB">
        <w:rPr>
          <w:rFonts w:cstheme="minorHAnsi"/>
        </w:rPr>
        <w:t xml:space="preserve">Pokud zvláštní právní předpis dle § 18 odst. 2 písm. b) zákona č. 130/2002 Sb. vyžaduje doložit povolení k činnostem, které plánuje vykonávat dle návrhu projektu, dokládá uchazeč příslušné povolení: - Rozhodnutí o povolení k nakládání s GMO Pokud bude uchazeč při řešení projektu pracovat s geneticky modifikovanými organismy (dále jen „GMO“), je povinen doložit Rozhodnutí o povolení k nakládání 11 s GMO vydané podle zákona č. 78/2004 Sb., o nakládání s geneticky modifikovanými organismy a genetickými produkty, ve znění pozdějších předpisů. </w:t>
      </w:r>
    </w:p>
    <w:p w14:paraId="7876A640" w14:textId="77777777" w:rsidR="002D1982" w:rsidRPr="002043FB" w:rsidRDefault="00FB6013" w:rsidP="002043FB">
      <w:pPr>
        <w:pStyle w:val="Odstavecseseznamem"/>
        <w:numPr>
          <w:ilvl w:val="0"/>
          <w:numId w:val="20"/>
        </w:numPr>
        <w:jc w:val="both"/>
        <w:rPr>
          <w:rFonts w:cstheme="minorHAnsi"/>
        </w:rPr>
      </w:pPr>
      <w:r w:rsidRPr="002043FB">
        <w:rPr>
          <w:rFonts w:cstheme="minorHAnsi"/>
        </w:rPr>
        <w:t>Oprávnění k používání pokusných zvířat podle zákona č. 246/1992 Sb., na ochranu zvířat proti týrání, ve znění pozdějších předpisů V případě, že v rámci projektu budou prováděny pokusy na zvířatech, předloží uchazeč oprávnění k používání pokusných zvířat dle §15a, §15b zákona č. 246/1992 Sb., na ochranu zvířat proti týrání, ve znění pozdějších předpisů. Oprávnění musí být platné v době podání žádosti do veřejné soutěže.</w:t>
      </w:r>
    </w:p>
    <w:p w14:paraId="7AD4EBF8" w14:textId="77777777" w:rsidR="00FB6013" w:rsidRPr="002043FB" w:rsidRDefault="00FB6013" w:rsidP="002043FB">
      <w:pPr>
        <w:pStyle w:val="Odstavecseseznamem"/>
        <w:numPr>
          <w:ilvl w:val="0"/>
          <w:numId w:val="20"/>
        </w:numPr>
        <w:jc w:val="both"/>
        <w:rPr>
          <w:rFonts w:cstheme="minorHAnsi"/>
        </w:rPr>
      </w:pPr>
      <w:r w:rsidRPr="002043FB">
        <w:rPr>
          <w:rFonts w:cstheme="minorHAnsi"/>
        </w:rPr>
        <w:t>U výsledků druhu H je povinnou přílohou návrhu projektu doložení zájmu budoucího odběratele výsledků.</w:t>
      </w:r>
    </w:p>
    <w:sectPr w:rsidR="00FB6013" w:rsidRPr="00204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50A9"/>
    <w:multiLevelType w:val="hybridMultilevel"/>
    <w:tmpl w:val="796495F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107B5"/>
    <w:multiLevelType w:val="multilevel"/>
    <w:tmpl w:val="D3A04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55E34"/>
    <w:multiLevelType w:val="hybridMultilevel"/>
    <w:tmpl w:val="73A2A044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91A4E"/>
    <w:multiLevelType w:val="hybridMultilevel"/>
    <w:tmpl w:val="83908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A2DC8"/>
    <w:multiLevelType w:val="hybridMultilevel"/>
    <w:tmpl w:val="F5A0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17A1"/>
    <w:multiLevelType w:val="hybridMultilevel"/>
    <w:tmpl w:val="6AE2FA9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EF7C5F"/>
    <w:multiLevelType w:val="hybridMultilevel"/>
    <w:tmpl w:val="173C96FE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42490"/>
    <w:multiLevelType w:val="hybridMultilevel"/>
    <w:tmpl w:val="E750A156"/>
    <w:lvl w:ilvl="0" w:tplc="AE1AB2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445A94"/>
    <w:multiLevelType w:val="hybridMultilevel"/>
    <w:tmpl w:val="B8506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908D9"/>
    <w:multiLevelType w:val="multilevel"/>
    <w:tmpl w:val="5044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0E691F"/>
    <w:multiLevelType w:val="multilevel"/>
    <w:tmpl w:val="45F2D8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6D11B9"/>
    <w:multiLevelType w:val="multilevel"/>
    <w:tmpl w:val="3D683F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F3147"/>
    <w:multiLevelType w:val="multilevel"/>
    <w:tmpl w:val="5162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6D024F"/>
    <w:multiLevelType w:val="hybridMultilevel"/>
    <w:tmpl w:val="7D6E7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56B73"/>
    <w:multiLevelType w:val="hybridMultilevel"/>
    <w:tmpl w:val="7DE43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D63E7"/>
    <w:multiLevelType w:val="hybridMultilevel"/>
    <w:tmpl w:val="BBC87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9644E"/>
    <w:multiLevelType w:val="hybridMultilevel"/>
    <w:tmpl w:val="F3FC93B8"/>
    <w:lvl w:ilvl="0" w:tplc="F6FCB40E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467D7"/>
    <w:multiLevelType w:val="hybridMultilevel"/>
    <w:tmpl w:val="B872A4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C1C2B"/>
    <w:multiLevelType w:val="hybridMultilevel"/>
    <w:tmpl w:val="8BC8F5A8"/>
    <w:lvl w:ilvl="0" w:tplc="D9587E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7744B"/>
    <w:multiLevelType w:val="hybridMultilevel"/>
    <w:tmpl w:val="62167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D625F"/>
    <w:multiLevelType w:val="hybridMultilevel"/>
    <w:tmpl w:val="3DF0AA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253B46"/>
    <w:multiLevelType w:val="multilevel"/>
    <w:tmpl w:val="66C0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64404C"/>
    <w:multiLevelType w:val="hybridMultilevel"/>
    <w:tmpl w:val="79ECCA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301C4"/>
    <w:multiLevelType w:val="hybridMultilevel"/>
    <w:tmpl w:val="C406B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86BF9"/>
    <w:multiLevelType w:val="hybridMultilevel"/>
    <w:tmpl w:val="4F364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40A23"/>
    <w:multiLevelType w:val="hybridMultilevel"/>
    <w:tmpl w:val="25963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41EFF"/>
    <w:multiLevelType w:val="hybridMultilevel"/>
    <w:tmpl w:val="A37C5E3A"/>
    <w:lvl w:ilvl="0" w:tplc="D9587E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F7755"/>
    <w:multiLevelType w:val="hybridMultilevel"/>
    <w:tmpl w:val="C97633A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94999"/>
    <w:multiLevelType w:val="hybridMultilevel"/>
    <w:tmpl w:val="3FCE0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44ABC"/>
    <w:multiLevelType w:val="hybridMultilevel"/>
    <w:tmpl w:val="8D520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0789F"/>
    <w:multiLevelType w:val="hybridMultilevel"/>
    <w:tmpl w:val="9FC24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E6507"/>
    <w:multiLevelType w:val="hybridMultilevel"/>
    <w:tmpl w:val="02CCC3CE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211AE"/>
    <w:multiLevelType w:val="hybridMultilevel"/>
    <w:tmpl w:val="CA304FFE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9946D21"/>
    <w:multiLevelType w:val="hybridMultilevel"/>
    <w:tmpl w:val="9F24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302E91"/>
    <w:multiLevelType w:val="hybridMultilevel"/>
    <w:tmpl w:val="4E28AA0A"/>
    <w:lvl w:ilvl="0" w:tplc="D9587E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47C11"/>
    <w:multiLevelType w:val="hybridMultilevel"/>
    <w:tmpl w:val="C352B5E2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28"/>
  </w:num>
  <w:num w:numId="4">
    <w:abstractNumId w:val="13"/>
  </w:num>
  <w:num w:numId="5">
    <w:abstractNumId w:val="16"/>
  </w:num>
  <w:num w:numId="6">
    <w:abstractNumId w:val="25"/>
  </w:num>
  <w:num w:numId="7">
    <w:abstractNumId w:val="34"/>
  </w:num>
  <w:num w:numId="8">
    <w:abstractNumId w:val="18"/>
  </w:num>
  <w:num w:numId="9">
    <w:abstractNumId w:val="26"/>
  </w:num>
  <w:num w:numId="10">
    <w:abstractNumId w:val="6"/>
  </w:num>
  <w:num w:numId="11">
    <w:abstractNumId w:val="31"/>
  </w:num>
  <w:num w:numId="12">
    <w:abstractNumId w:val="2"/>
  </w:num>
  <w:num w:numId="13">
    <w:abstractNumId w:val="35"/>
  </w:num>
  <w:num w:numId="14">
    <w:abstractNumId w:val="7"/>
  </w:num>
  <w:num w:numId="15">
    <w:abstractNumId w:val="15"/>
  </w:num>
  <w:num w:numId="16">
    <w:abstractNumId w:val="0"/>
  </w:num>
  <w:num w:numId="17">
    <w:abstractNumId w:val="22"/>
  </w:num>
  <w:num w:numId="18">
    <w:abstractNumId w:val="19"/>
  </w:num>
  <w:num w:numId="19">
    <w:abstractNumId w:val="3"/>
  </w:num>
  <w:num w:numId="20">
    <w:abstractNumId w:val="5"/>
  </w:num>
  <w:num w:numId="21">
    <w:abstractNumId w:val="20"/>
  </w:num>
  <w:num w:numId="22">
    <w:abstractNumId w:val="33"/>
  </w:num>
  <w:num w:numId="23">
    <w:abstractNumId w:val="23"/>
  </w:num>
  <w:num w:numId="24">
    <w:abstractNumId w:val="32"/>
  </w:num>
  <w:num w:numId="25">
    <w:abstractNumId w:val="29"/>
  </w:num>
  <w:num w:numId="26">
    <w:abstractNumId w:val="10"/>
  </w:num>
  <w:num w:numId="27">
    <w:abstractNumId w:val="11"/>
  </w:num>
  <w:num w:numId="28">
    <w:abstractNumId w:val="1"/>
  </w:num>
  <w:num w:numId="29">
    <w:abstractNumId w:val="4"/>
  </w:num>
  <w:num w:numId="30">
    <w:abstractNumId w:val="8"/>
  </w:num>
  <w:num w:numId="31">
    <w:abstractNumId w:val="27"/>
  </w:num>
  <w:num w:numId="32">
    <w:abstractNumId w:val="9"/>
  </w:num>
  <w:num w:numId="33">
    <w:abstractNumId w:val="21"/>
  </w:num>
  <w:num w:numId="34">
    <w:abstractNumId w:val="12"/>
  </w:num>
  <w:num w:numId="35">
    <w:abstractNumId w:val="30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70F"/>
    <w:rsid w:val="00072822"/>
    <w:rsid w:val="000B2046"/>
    <w:rsid w:val="001004F9"/>
    <w:rsid w:val="001066CA"/>
    <w:rsid w:val="001233CB"/>
    <w:rsid w:val="00190FC7"/>
    <w:rsid w:val="001F7EB7"/>
    <w:rsid w:val="002043FB"/>
    <w:rsid w:val="002425FA"/>
    <w:rsid w:val="002673D7"/>
    <w:rsid w:val="00270D1F"/>
    <w:rsid w:val="00272D6E"/>
    <w:rsid w:val="00294F2E"/>
    <w:rsid w:val="002965F7"/>
    <w:rsid w:val="002D1982"/>
    <w:rsid w:val="003206E0"/>
    <w:rsid w:val="00351C13"/>
    <w:rsid w:val="00425430"/>
    <w:rsid w:val="004443B0"/>
    <w:rsid w:val="004773F0"/>
    <w:rsid w:val="00480718"/>
    <w:rsid w:val="00483113"/>
    <w:rsid w:val="0050069D"/>
    <w:rsid w:val="00545EB6"/>
    <w:rsid w:val="00563DF1"/>
    <w:rsid w:val="00574482"/>
    <w:rsid w:val="0057770F"/>
    <w:rsid w:val="005A14F4"/>
    <w:rsid w:val="005B50C1"/>
    <w:rsid w:val="005D1D65"/>
    <w:rsid w:val="005E71F4"/>
    <w:rsid w:val="005F4E49"/>
    <w:rsid w:val="006147C0"/>
    <w:rsid w:val="0064508D"/>
    <w:rsid w:val="0066254D"/>
    <w:rsid w:val="006A5CBC"/>
    <w:rsid w:val="006B31B9"/>
    <w:rsid w:val="006E1D5D"/>
    <w:rsid w:val="007C2781"/>
    <w:rsid w:val="007E266C"/>
    <w:rsid w:val="007E3207"/>
    <w:rsid w:val="007E344D"/>
    <w:rsid w:val="00827BC3"/>
    <w:rsid w:val="00837080"/>
    <w:rsid w:val="00850853"/>
    <w:rsid w:val="00857B9A"/>
    <w:rsid w:val="00894BEB"/>
    <w:rsid w:val="0094431F"/>
    <w:rsid w:val="00977ECC"/>
    <w:rsid w:val="009D390A"/>
    <w:rsid w:val="009D4F80"/>
    <w:rsid w:val="009D66C6"/>
    <w:rsid w:val="009E4E86"/>
    <w:rsid w:val="00A62551"/>
    <w:rsid w:val="00AA7E6C"/>
    <w:rsid w:val="00AD0BCF"/>
    <w:rsid w:val="00AE7586"/>
    <w:rsid w:val="00AF3498"/>
    <w:rsid w:val="00B06F39"/>
    <w:rsid w:val="00B21A91"/>
    <w:rsid w:val="00B76B8F"/>
    <w:rsid w:val="00B97E24"/>
    <w:rsid w:val="00C10D9F"/>
    <w:rsid w:val="00C43ED8"/>
    <w:rsid w:val="00C4569A"/>
    <w:rsid w:val="00CB5570"/>
    <w:rsid w:val="00CC39C8"/>
    <w:rsid w:val="00D3614E"/>
    <w:rsid w:val="00D658FB"/>
    <w:rsid w:val="00D66035"/>
    <w:rsid w:val="00DC2CBA"/>
    <w:rsid w:val="00DC372A"/>
    <w:rsid w:val="00DD097B"/>
    <w:rsid w:val="00DE7CE5"/>
    <w:rsid w:val="00E41214"/>
    <w:rsid w:val="00E950DD"/>
    <w:rsid w:val="00EB3EF0"/>
    <w:rsid w:val="00F114DA"/>
    <w:rsid w:val="00F148C0"/>
    <w:rsid w:val="00F557E4"/>
    <w:rsid w:val="00F9277D"/>
    <w:rsid w:val="00FA2C42"/>
    <w:rsid w:val="00FB6013"/>
    <w:rsid w:val="00FD225A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1541"/>
  <w15:chartTrackingRefBased/>
  <w15:docId w15:val="{111FCB2E-4DBB-4516-BEAB-79E05E5F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ubheading-category1">
    <w:name w:val="subheading-category1"/>
    <w:basedOn w:val="Standardnpsmoodstavce"/>
    <w:rsid w:val="0057770F"/>
    <w:rPr>
      <w:cap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7770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7770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94BEB"/>
    <w:rPr>
      <w:color w:val="0563C1" w:themeColor="hyperlink"/>
      <w:u w:val="single"/>
    </w:rPr>
  </w:style>
  <w:style w:type="paragraph" w:customStyle="1" w:styleId="Default">
    <w:name w:val="Default"/>
    <w:rsid w:val="00FE3CF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F349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3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ED8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480718"/>
    <w:rPr>
      <w:color w:val="954F72" w:themeColor="followedHyperlink"/>
      <w:u w:val="single"/>
    </w:rPr>
  </w:style>
  <w:style w:type="character" w:customStyle="1" w:styleId="normaltextrun">
    <w:name w:val="normaltextrun"/>
    <w:basedOn w:val="Standardnpsmoodstavce"/>
    <w:rsid w:val="005D1D65"/>
  </w:style>
  <w:style w:type="table" w:styleId="Svtltabulkasmkou1">
    <w:name w:val="Grid Table 1 Light"/>
    <w:basedOn w:val="Normlntabulka"/>
    <w:uiPriority w:val="46"/>
    <w:rsid w:val="007E320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semiHidden/>
    <w:unhideWhenUsed/>
    <w:rsid w:val="006B3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B7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kova@vutbr.cz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jana.ondrouskova@vutbr.cz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kovam@vutbr.cz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pilcerova@vutbr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FB68D9F2763649910998E89D96AB68" ma:contentTypeVersion="15" ma:contentTypeDescription="Vytvoří nový dokument" ma:contentTypeScope="" ma:versionID="40893f7cdd27bc8d13f67db0022a6232">
  <xsd:schema xmlns:xsd="http://www.w3.org/2001/XMLSchema" xmlns:xs="http://www.w3.org/2001/XMLSchema" xmlns:p="http://schemas.microsoft.com/office/2006/metadata/properties" xmlns:ns2="041d89de-1744-4521-a685-e886ea2c03de" xmlns:ns3="8c35e4c5-d405-463c-af8a-5ed9b7598b51" targetNamespace="http://schemas.microsoft.com/office/2006/metadata/properties" ma:root="true" ma:fieldsID="f46056d08504db1b4b337174dd89ca44" ns2:_="" ns3:_="">
    <xsd:import namespace="041d89de-1744-4521-a685-e886ea2c03de"/>
    <xsd:import namespace="8c35e4c5-d405-463c-af8a-5ed9b7598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89de-1744-4521-a685-e886ea2c0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dc0c66c-3bbb-45c0-81fe-e66ee927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5e4c5-d405-463c-af8a-5ed9b7598b5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5fba7fc-e759-43d2-8863-c8702963e369}" ma:internalName="TaxCatchAll" ma:showField="CatchAllData" ma:web="8c35e4c5-d405-463c-af8a-5ed9b7598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35e4c5-d405-463c-af8a-5ed9b7598b51" xsi:nil="true"/>
    <lcf76f155ced4ddcb4097134ff3c332f xmlns="041d89de-1744-4521-a685-e886ea2c03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76DF12-9EC3-4CDB-B500-C02081C6A335}"/>
</file>

<file path=customXml/itemProps2.xml><?xml version="1.0" encoding="utf-8"?>
<ds:datastoreItem xmlns:ds="http://schemas.openxmlformats.org/officeDocument/2006/customXml" ds:itemID="{8DDD60B1-B7F3-426C-9BE5-84CB821B2DFA}"/>
</file>

<file path=customXml/itemProps3.xml><?xml version="1.0" encoding="utf-8"?>
<ds:datastoreItem xmlns:ds="http://schemas.openxmlformats.org/officeDocument/2006/customXml" ds:itemID="{29F15CC5-FD39-4B95-9B7D-B077D46E66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1800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Legátová Martina</dc:creator>
  <cp:keywords/>
  <dc:description/>
  <cp:lastModifiedBy>Eva</cp:lastModifiedBy>
  <cp:revision>2</cp:revision>
  <cp:lastPrinted>2020-05-14T08:47:00Z</cp:lastPrinted>
  <dcterms:created xsi:type="dcterms:W3CDTF">2024-04-30T12:04:00Z</dcterms:created>
  <dcterms:modified xsi:type="dcterms:W3CDTF">2024-04-30T12:04:00Z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0x010100F6FB68D9F2763649910998E89D96AB68</vt:lpwstr>
  </property>
</Properties>
</file>