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9E54" w14:textId="77777777" w:rsidR="002E1ECA" w:rsidRPr="004D1883" w:rsidRDefault="0011585E" w:rsidP="004D1883">
      <w:pPr>
        <w:spacing w:after="0" w:line="240" w:lineRule="auto"/>
        <w:jc w:val="both"/>
        <w:rPr>
          <w:b/>
          <w:color w:val="1F4E79" w:themeColor="accent1" w:themeShade="80"/>
          <w:sz w:val="32"/>
          <w:szCs w:val="28"/>
        </w:rPr>
      </w:pPr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7</w:t>
      </w:r>
      <w:r w:rsid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veřejná </w:t>
      </w:r>
      <w:proofErr w:type="gramStart"/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soutěž </w:t>
      </w:r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- Program</w:t>
      </w:r>
      <w:proofErr w:type="gramEnd"/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 </w:t>
      </w:r>
      <w:r w:rsidR="002F21BE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SIGMA</w:t>
      </w:r>
      <w:r w:rsidR="004D1883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 - </w:t>
      </w:r>
      <w:r w:rsidR="004D1883" w:rsidRPr="004D1883">
        <w:rPr>
          <w:b/>
          <w:color w:val="1F4E79" w:themeColor="accent1" w:themeShade="80"/>
          <w:sz w:val="32"/>
          <w:szCs w:val="28"/>
        </w:rPr>
        <w:t xml:space="preserve">Dílčí cíl 2: Začínající výzkumníci/výzkumnice </w:t>
      </w:r>
    </w:p>
    <w:p w14:paraId="727CB4A2" w14:textId="77777777" w:rsidR="0057770F" w:rsidRPr="004D1883" w:rsidRDefault="0057770F" w:rsidP="00A863F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352AACEE" w14:textId="77777777" w:rsidR="003D4328" w:rsidRPr="001923C1" w:rsidRDefault="0057770F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1923C1">
        <w:rPr>
          <w:b/>
          <w:color w:val="1F4E79" w:themeColor="accent1" w:themeShade="80"/>
          <w:sz w:val="28"/>
          <w:szCs w:val="28"/>
        </w:rPr>
        <w:t>Důležité termíny:</w:t>
      </w:r>
    </w:p>
    <w:p w14:paraId="4138E686" w14:textId="77777777" w:rsidR="0057770F" w:rsidRPr="001923C1" w:rsidRDefault="0057770F" w:rsidP="003D4328">
      <w:pPr>
        <w:spacing w:after="0" w:line="240" w:lineRule="auto"/>
        <w:rPr>
          <w:b/>
        </w:rPr>
      </w:pPr>
      <w:r w:rsidRPr="001923C1">
        <w:t>Soutěžní lhůta začíná</w:t>
      </w:r>
      <w:r w:rsidR="00AB60CA" w:rsidRPr="001923C1">
        <w:t xml:space="preserve"> </w:t>
      </w:r>
      <w:r w:rsidR="0011585E">
        <w:rPr>
          <w:b/>
        </w:rPr>
        <w:t>8</w:t>
      </w:r>
      <w:r w:rsidR="00647EBB">
        <w:rPr>
          <w:b/>
        </w:rPr>
        <w:t xml:space="preserve">. </w:t>
      </w:r>
      <w:r w:rsidR="00970A1B">
        <w:rPr>
          <w:b/>
        </w:rPr>
        <w:t>2</w:t>
      </w:r>
      <w:r w:rsidR="00647EBB">
        <w:rPr>
          <w:b/>
        </w:rPr>
        <w:t>. 202</w:t>
      </w:r>
      <w:r w:rsidR="0011585E">
        <w:rPr>
          <w:b/>
        </w:rPr>
        <w:t>4</w:t>
      </w:r>
      <w:r w:rsidR="002F5811">
        <w:rPr>
          <w:b/>
        </w:rPr>
        <w:t xml:space="preserve"> </w:t>
      </w:r>
      <w:r w:rsidR="002F5811" w:rsidRPr="002F5811">
        <w:t>v 9:00</w:t>
      </w:r>
    </w:p>
    <w:p w14:paraId="3EF08822" w14:textId="77777777" w:rsidR="00A863FE" w:rsidRDefault="0057770F" w:rsidP="003D4328">
      <w:pPr>
        <w:spacing w:after="0" w:line="240" w:lineRule="auto"/>
      </w:pPr>
      <w:r w:rsidRPr="001923C1">
        <w:t xml:space="preserve">Soutěžní lhůta končí: </w:t>
      </w:r>
      <w:r w:rsidR="0011585E">
        <w:rPr>
          <w:b/>
        </w:rPr>
        <w:t>27</w:t>
      </w:r>
      <w:r w:rsidR="002F21BE" w:rsidRPr="00A863FE">
        <w:rPr>
          <w:b/>
        </w:rPr>
        <w:t>.</w:t>
      </w:r>
      <w:r w:rsidR="0011585E">
        <w:rPr>
          <w:b/>
        </w:rPr>
        <w:t>3</w:t>
      </w:r>
      <w:r w:rsidR="002F21BE" w:rsidRPr="00A863FE">
        <w:rPr>
          <w:b/>
        </w:rPr>
        <w:t>.202</w:t>
      </w:r>
      <w:r w:rsidR="00970A1B">
        <w:rPr>
          <w:b/>
        </w:rPr>
        <w:t>3</w:t>
      </w:r>
      <w:r w:rsidR="00A863FE" w:rsidRPr="00A863FE">
        <w:t xml:space="preserve"> </w:t>
      </w:r>
      <w:r w:rsidR="002F5811">
        <w:t>v 16:29:59 – podání návrhu projektu prostřednictvím ISTA</w:t>
      </w:r>
    </w:p>
    <w:p w14:paraId="2CA357F2" w14:textId="77777777" w:rsidR="002F5811" w:rsidRDefault="002F5811" w:rsidP="003D4328">
      <w:pPr>
        <w:tabs>
          <w:tab w:val="left" w:pos="2775"/>
        </w:tabs>
        <w:spacing w:after="0" w:line="240" w:lineRule="auto"/>
      </w:pPr>
      <w:r>
        <w:tab/>
      </w:r>
      <w:r w:rsidR="0011585E">
        <w:t xml:space="preserve">  </w:t>
      </w:r>
      <w:r>
        <w:t xml:space="preserve">v 23:59:59 – odeslání potvrzení podání z datové schránky hlavního   </w:t>
      </w:r>
    </w:p>
    <w:p w14:paraId="11719F5B" w14:textId="77777777" w:rsidR="002F5811" w:rsidRDefault="002F5811" w:rsidP="003D4328">
      <w:pPr>
        <w:tabs>
          <w:tab w:val="left" w:pos="2775"/>
        </w:tabs>
        <w:spacing w:after="0" w:line="240" w:lineRule="auto"/>
      </w:pPr>
      <w:r>
        <w:t xml:space="preserve">                                                                               uchazeče a dokladů k prokázání způsobilosti</w:t>
      </w:r>
    </w:p>
    <w:p w14:paraId="4EFB21A0" w14:textId="77777777" w:rsidR="00894BEB" w:rsidRPr="00774823" w:rsidRDefault="00894BEB" w:rsidP="003D4328">
      <w:pPr>
        <w:spacing w:after="0" w:line="240" w:lineRule="auto"/>
        <w:rPr>
          <w:b/>
        </w:rPr>
      </w:pPr>
      <w:r w:rsidRPr="00774823">
        <w:t>Vyhlášení výsledků soutěže:</w:t>
      </w:r>
      <w:r w:rsidRPr="00774823">
        <w:rPr>
          <w:b/>
        </w:rPr>
        <w:t xml:space="preserve"> </w:t>
      </w:r>
      <w:r w:rsidR="00970A1B">
        <w:rPr>
          <w:b/>
        </w:rPr>
        <w:t>31.10.</w:t>
      </w:r>
      <w:r w:rsidR="00647EBB">
        <w:rPr>
          <w:b/>
        </w:rPr>
        <w:t>202</w:t>
      </w:r>
      <w:r w:rsidR="0011585E">
        <w:rPr>
          <w:b/>
        </w:rPr>
        <w:t>4</w:t>
      </w:r>
    </w:p>
    <w:p w14:paraId="1345E07A" w14:textId="77777777" w:rsidR="00894BEB" w:rsidRPr="00970A1B" w:rsidRDefault="00894BEB" w:rsidP="003D4328">
      <w:pPr>
        <w:spacing w:after="0" w:line="240" w:lineRule="auto"/>
        <w:rPr>
          <w:b/>
        </w:rPr>
      </w:pPr>
      <w:r w:rsidRPr="00970A1B">
        <w:t>Zahájení řešení projektu:</w:t>
      </w:r>
      <w:r w:rsidRPr="00970A1B">
        <w:rPr>
          <w:b/>
        </w:rPr>
        <w:t xml:space="preserve"> </w:t>
      </w:r>
      <w:r w:rsidR="0011585E">
        <w:rPr>
          <w:b/>
        </w:rPr>
        <w:t xml:space="preserve">nejdříve listopad 2024, nejpozději </w:t>
      </w:r>
      <w:r w:rsidR="00970A1B">
        <w:rPr>
          <w:b/>
        </w:rPr>
        <w:t>leden 202</w:t>
      </w:r>
      <w:r w:rsidR="0011585E">
        <w:rPr>
          <w:b/>
        </w:rPr>
        <w:t>5</w:t>
      </w:r>
    </w:p>
    <w:p w14:paraId="7AC16AA1" w14:textId="77777777" w:rsidR="00894BEB" w:rsidRPr="00970A1B" w:rsidRDefault="00894BEB" w:rsidP="003D4328">
      <w:pPr>
        <w:spacing w:after="0" w:line="240" w:lineRule="auto"/>
        <w:rPr>
          <w:b/>
        </w:rPr>
      </w:pPr>
      <w:r w:rsidRPr="00970A1B">
        <w:t>Nejzazší termín ukončení řešení projektu:</w:t>
      </w:r>
      <w:r w:rsidR="0003137D" w:rsidRPr="00970A1B">
        <w:t xml:space="preserve"> </w:t>
      </w:r>
      <w:r w:rsidR="00970A1B">
        <w:rPr>
          <w:b/>
        </w:rPr>
        <w:t>prosinec 202</w:t>
      </w:r>
      <w:r w:rsidR="0011585E">
        <w:rPr>
          <w:b/>
        </w:rPr>
        <w:t>6</w:t>
      </w:r>
    </w:p>
    <w:p w14:paraId="6924992C" w14:textId="77777777" w:rsidR="00894BEB" w:rsidRPr="00970A1B" w:rsidRDefault="00894BEB" w:rsidP="003D4328">
      <w:pPr>
        <w:spacing w:after="0" w:line="240" w:lineRule="auto"/>
        <w:rPr>
          <w:b/>
        </w:rPr>
      </w:pPr>
      <w:r w:rsidRPr="00970A1B">
        <w:t>Délka řešení projektu:</w:t>
      </w:r>
      <w:r w:rsidRPr="00970A1B">
        <w:rPr>
          <w:b/>
        </w:rPr>
        <w:t xml:space="preserve"> 12 – </w:t>
      </w:r>
      <w:proofErr w:type="gramStart"/>
      <w:r w:rsidR="00970A1B">
        <w:rPr>
          <w:b/>
        </w:rPr>
        <w:t>24</w:t>
      </w:r>
      <w:r w:rsidR="002F21BE" w:rsidRPr="00970A1B">
        <w:rPr>
          <w:b/>
        </w:rPr>
        <w:t xml:space="preserve"> </w:t>
      </w:r>
      <w:r w:rsidRPr="00970A1B">
        <w:rPr>
          <w:b/>
        </w:rPr>
        <w:t xml:space="preserve"> měsíců</w:t>
      </w:r>
      <w:proofErr w:type="gramEnd"/>
    </w:p>
    <w:p w14:paraId="3C152266" w14:textId="77777777" w:rsidR="0057770F" w:rsidRPr="00970A1B" w:rsidRDefault="0057770F" w:rsidP="003D4328">
      <w:pPr>
        <w:spacing w:after="0" w:line="240" w:lineRule="auto"/>
        <w:rPr>
          <w:b/>
        </w:rPr>
      </w:pPr>
    </w:p>
    <w:p w14:paraId="11D56EBC" w14:textId="77777777" w:rsidR="003D4328" w:rsidRDefault="00531DCA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Kontaktní osoby:</w:t>
      </w:r>
    </w:p>
    <w:p w14:paraId="4405E74E" w14:textId="77777777" w:rsidR="00531DCA" w:rsidRDefault="00531DCA" w:rsidP="003D4328">
      <w:pPr>
        <w:spacing w:after="0" w:line="240" w:lineRule="auto"/>
        <w:rPr>
          <w:b/>
        </w:rPr>
      </w:pPr>
      <w:r>
        <w:rPr>
          <w:b/>
        </w:rPr>
        <w:t xml:space="preserve">Soutěž TAČR na VUT Brno – Ing. </w:t>
      </w:r>
      <w:r w:rsidR="00E96464">
        <w:rPr>
          <w:b/>
        </w:rPr>
        <w:t>Veronika Pilcerová</w:t>
      </w:r>
      <w:r>
        <w:rPr>
          <w:b/>
        </w:rPr>
        <w:t xml:space="preserve"> (</w:t>
      </w:r>
      <w:hyperlink r:id="rId5" w:history="1">
        <w:r w:rsidR="00E96464" w:rsidRPr="00CC21A4">
          <w:rPr>
            <w:rStyle w:val="Hypertextovodkaz"/>
            <w:b/>
          </w:rPr>
          <w:t>pilcerova@vutbr.cz</w:t>
        </w:r>
      </w:hyperlink>
      <w:r>
        <w:rPr>
          <w:b/>
        </w:rPr>
        <w:t>, kl. 5237)</w:t>
      </w:r>
    </w:p>
    <w:p w14:paraId="31878057" w14:textId="77777777" w:rsidR="00531DCA" w:rsidRDefault="00531DCA" w:rsidP="003D4328">
      <w:pPr>
        <w:spacing w:after="0" w:line="240" w:lineRule="auto"/>
        <w:rPr>
          <w:b/>
        </w:rPr>
      </w:pPr>
      <w:r>
        <w:rPr>
          <w:b/>
        </w:rPr>
        <w:t xml:space="preserve">Duševní vlastnictví, konzultace smlouvy mezi uchazeči,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– O</w:t>
      </w:r>
      <w:r w:rsidR="0011585E">
        <w:rPr>
          <w:b/>
        </w:rPr>
        <w:t>P</w:t>
      </w:r>
      <w:r>
        <w:rPr>
          <w:b/>
        </w:rPr>
        <w:t xml:space="preserve"> – </w:t>
      </w:r>
      <w:r w:rsidR="005A37C6">
        <w:rPr>
          <w:b/>
        </w:rPr>
        <w:t>Mgr. Michaela Daňková</w:t>
      </w:r>
      <w:r>
        <w:rPr>
          <w:b/>
        </w:rPr>
        <w:t xml:space="preserve"> (</w:t>
      </w:r>
      <w:hyperlink r:id="rId6" w:history="1">
        <w:r w:rsidR="005A37C6"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5A37C6">
        <w:rPr>
          <w:b/>
        </w:rPr>
        <w:t>8</w:t>
      </w:r>
      <w:r>
        <w:rPr>
          <w:b/>
        </w:rPr>
        <w:t>)</w:t>
      </w:r>
    </w:p>
    <w:p w14:paraId="36535DC0" w14:textId="77777777" w:rsidR="00A9566B" w:rsidRDefault="00A9566B" w:rsidP="003D4328">
      <w:pPr>
        <w:spacing w:after="0" w:line="240" w:lineRule="auto"/>
        <w:jc w:val="both"/>
        <w:rPr>
          <w:b/>
        </w:rPr>
      </w:pPr>
      <w:r>
        <w:rPr>
          <w:b/>
        </w:rPr>
        <w:t xml:space="preserve">Proces průběhu ochrany duševního vlastnictví </w:t>
      </w:r>
      <w:r w:rsidR="0011585E">
        <w:rPr>
          <w:b/>
        </w:rPr>
        <w:t xml:space="preserve">– OTZ - </w:t>
      </w:r>
      <w:r>
        <w:rPr>
          <w:b/>
        </w:rPr>
        <w:t xml:space="preserve">Ing. Jana Ondroušková, </w:t>
      </w:r>
      <w:proofErr w:type="spellStart"/>
      <w:r>
        <w:rPr>
          <w:b/>
        </w:rPr>
        <w:t>Ph.d.</w:t>
      </w:r>
      <w:proofErr w:type="spellEnd"/>
      <w:r>
        <w:rPr>
          <w:b/>
        </w:rPr>
        <w:t xml:space="preserve"> </w:t>
      </w:r>
      <w:hyperlink r:id="rId7" w:history="1">
        <w:r w:rsidRPr="00880B29">
          <w:rPr>
            <w:rStyle w:val="Hypertextovodkaz"/>
            <w:b/>
          </w:rPr>
          <w:t>jana.ondrouskova@vutbr.cz</w:t>
        </w:r>
      </w:hyperlink>
      <w:r>
        <w:rPr>
          <w:b/>
        </w:rPr>
        <w:t xml:space="preserve"> , kl. 4224</w:t>
      </w:r>
      <w:r w:rsidR="0011585E">
        <w:rPr>
          <w:b/>
        </w:rPr>
        <w:t>)</w:t>
      </w:r>
    </w:p>
    <w:p w14:paraId="374067EA" w14:textId="77777777" w:rsidR="00531DCA" w:rsidRDefault="00531DCA" w:rsidP="003D4328">
      <w:pPr>
        <w:spacing w:after="0" w:line="240" w:lineRule="auto"/>
        <w:rPr>
          <w:b/>
        </w:rPr>
      </w:pPr>
      <w:r>
        <w:rPr>
          <w:b/>
        </w:rPr>
        <w:t>Otázka DPH v projektech TAČR – Ing. Romana Sasková (</w:t>
      </w:r>
      <w:hyperlink r:id="rId8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14:paraId="3CDF5BB1" w14:textId="77777777" w:rsidR="001F5E85" w:rsidRDefault="001F5E85" w:rsidP="003D4328">
      <w:pPr>
        <w:spacing w:after="0" w:line="240" w:lineRule="auto"/>
        <w:rPr>
          <w:b/>
        </w:rPr>
      </w:pPr>
    </w:p>
    <w:p w14:paraId="5FCD6D6A" w14:textId="77777777" w:rsidR="00531DCA" w:rsidRDefault="00531DCA" w:rsidP="003D4328">
      <w:pPr>
        <w:spacing w:after="0" w:line="240" w:lineRule="auto"/>
        <w:rPr>
          <w:b/>
        </w:rPr>
      </w:pPr>
      <w:r w:rsidRPr="00E656CA">
        <w:rPr>
          <w:b/>
        </w:rPr>
        <w:t xml:space="preserve">Zadání do APOLLA pod programem </w:t>
      </w:r>
      <w:r w:rsidRPr="00023C3F">
        <w:rPr>
          <w:b/>
        </w:rPr>
        <w:t xml:space="preserve">financování: </w:t>
      </w:r>
      <w:r w:rsidR="0083332B" w:rsidRPr="00003575">
        <w:rPr>
          <w:b/>
        </w:rPr>
        <w:t>TQ</w:t>
      </w:r>
      <w:r w:rsidR="00003575" w:rsidRPr="00003575">
        <w:rPr>
          <w:b/>
        </w:rPr>
        <w:t>1</w:t>
      </w:r>
      <w:r w:rsidR="00B54ADD">
        <w:rPr>
          <w:b/>
        </w:rPr>
        <w:t>5</w:t>
      </w:r>
      <w:r w:rsidR="00003575" w:rsidRPr="00003575">
        <w:rPr>
          <w:b/>
        </w:rPr>
        <w:t>0</w:t>
      </w:r>
    </w:p>
    <w:p w14:paraId="66EB6CB9" w14:textId="77777777" w:rsidR="00A9566B" w:rsidRPr="00E656CA" w:rsidRDefault="00A9566B" w:rsidP="003D4328">
      <w:pPr>
        <w:spacing w:after="0" w:line="240" w:lineRule="auto"/>
        <w:rPr>
          <w:b/>
        </w:rPr>
      </w:pPr>
    </w:p>
    <w:p w14:paraId="70B6E0A7" w14:textId="77777777" w:rsidR="00531DCA" w:rsidRPr="00A863FE" w:rsidRDefault="00531DCA" w:rsidP="003D4328">
      <w:pPr>
        <w:spacing w:after="0" w:line="240" w:lineRule="auto"/>
        <w:rPr>
          <w:b/>
          <w:color w:val="1F4E79" w:themeColor="accent1" w:themeShade="80"/>
          <w:szCs w:val="28"/>
        </w:rPr>
      </w:pPr>
    </w:p>
    <w:p w14:paraId="32D552A4" w14:textId="77777777" w:rsidR="003D4328" w:rsidRDefault="00C10D9F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Odkaz na soutěž:</w:t>
      </w:r>
    </w:p>
    <w:p w14:paraId="3CD02DAD" w14:textId="77777777" w:rsidR="00E96464" w:rsidRDefault="009607BB" w:rsidP="003D4328">
      <w:pPr>
        <w:spacing w:after="0" w:line="240" w:lineRule="auto"/>
        <w:jc w:val="both"/>
      </w:pPr>
      <w:hyperlink r:id="rId9" w:history="1">
        <w:r w:rsidR="0011585E" w:rsidRPr="00D36199">
          <w:rPr>
            <w:rStyle w:val="Hypertextovodkaz"/>
          </w:rPr>
          <w:t>https://www.tacr.cz/soutez/program-sigma/sedma-verejna-soutez-dilci-cil-2-zacinajici-vyzkumnici-vyzkumnice/</w:t>
        </w:r>
      </w:hyperlink>
      <w:r w:rsidR="0011585E">
        <w:t xml:space="preserve"> </w:t>
      </w:r>
      <w:r w:rsidR="00970A1B">
        <w:t xml:space="preserve"> </w:t>
      </w:r>
      <w:r w:rsidR="002F21BE">
        <w:t xml:space="preserve"> </w:t>
      </w:r>
    </w:p>
    <w:p w14:paraId="1975265C" w14:textId="77777777" w:rsidR="002F21BE" w:rsidRDefault="002F21BE" w:rsidP="003D4328">
      <w:pPr>
        <w:spacing w:after="0" w:line="240" w:lineRule="auto"/>
        <w:rPr>
          <w:b/>
          <w:color w:val="1F4E79" w:themeColor="accent1" w:themeShade="80"/>
          <w:szCs w:val="28"/>
        </w:rPr>
      </w:pPr>
    </w:p>
    <w:p w14:paraId="3E4D491A" w14:textId="77777777" w:rsidR="0011585E" w:rsidRPr="00A863FE" w:rsidRDefault="0011585E" w:rsidP="003D4328">
      <w:pPr>
        <w:spacing w:after="0" w:line="240" w:lineRule="auto"/>
        <w:rPr>
          <w:b/>
          <w:color w:val="1F4E79" w:themeColor="accent1" w:themeShade="80"/>
          <w:szCs w:val="28"/>
        </w:rPr>
      </w:pPr>
    </w:p>
    <w:p w14:paraId="35FA2E55" w14:textId="77777777" w:rsidR="003D4328" w:rsidRDefault="0077482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Zaměření programu:</w:t>
      </w:r>
    </w:p>
    <w:p w14:paraId="59D03C15" w14:textId="77777777" w:rsidR="002C5B89" w:rsidRDefault="0011585E" w:rsidP="0011585E">
      <w:pPr>
        <w:spacing w:after="0" w:line="240" w:lineRule="auto"/>
        <w:jc w:val="both"/>
      </w:pPr>
      <w:r w:rsidRPr="0011585E">
        <w:t>Program SIGMA – DC2 se zaměřuje na zvýšení zapojení začínajících výzkumníků a výzkumnic v oblastech aplikovaného výzkumu při řešení konkrétních projektů přímo se subjekty z aplikační praxe. Dalším cílem je podpořit vyrovnání příležitostí pro ženy a muže v konkurenci aplikovaného výzkumu. Pro tuto veřejnou soutěž byla stanovena čtyři výzkumná témata, přičemž každý návrh projektu musí být v souladu s jedním výzkumným tématem.</w:t>
      </w:r>
    </w:p>
    <w:p w14:paraId="249DDD3A" w14:textId="77777777" w:rsidR="0011585E" w:rsidRDefault="0011585E" w:rsidP="0011585E">
      <w:pPr>
        <w:spacing w:after="0" w:line="240" w:lineRule="auto"/>
        <w:jc w:val="both"/>
      </w:pPr>
    </w:p>
    <w:p w14:paraId="573CCD9D" w14:textId="77777777" w:rsidR="0011585E" w:rsidRDefault="0011585E" w:rsidP="0011585E">
      <w:pPr>
        <w:spacing w:after="0" w:line="240" w:lineRule="auto"/>
        <w:jc w:val="both"/>
      </w:pPr>
    </w:p>
    <w:p w14:paraId="52A8EE2E" w14:textId="77777777" w:rsidR="0011585E" w:rsidRPr="0011585E" w:rsidRDefault="0011585E" w:rsidP="0011585E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11585E">
        <w:rPr>
          <w:b/>
          <w:color w:val="1F4E79" w:themeColor="accent1" w:themeShade="80"/>
          <w:sz w:val="28"/>
          <w:szCs w:val="28"/>
        </w:rPr>
        <w:t>Výzkumná témata:</w:t>
      </w:r>
    </w:p>
    <w:p w14:paraId="35C63500" w14:textId="77777777" w:rsidR="0011585E" w:rsidRPr="0011585E" w:rsidRDefault="0011585E" w:rsidP="0011585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b/>
        </w:rPr>
      </w:pPr>
      <w:r w:rsidRPr="0011585E">
        <w:rPr>
          <w:b/>
        </w:rPr>
        <w:t>Telemedicína</w:t>
      </w:r>
    </w:p>
    <w:p w14:paraId="0FEC161F" w14:textId="77777777" w:rsidR="0011585E" w:rsidRDefault="0011585E" w:rsidP="0011585E">
      <w:pPr>
        <w:spacing w:after="0" w:line="240" w:lineRule="auto"/>
        <w:jc w:val="both"/>
      </w:pPr>
      <w:r>
        <w:t xml:space="preserve"> Telemedicína hraje vzrůstající roli v moderním efektivním zdravotnictví. Telemedicína je ve své podstatě přenos zdravotnických dat na dálku různými prostředky ať hlasovými, textovými nebo datovými. Tento obor zahrnuje čtyři základní typy aktivit: interakce pacient – lékař, vzdálené sledování zdravotních dat pacienta, přenos dat jako například snímků mezi zdravotnickými zařízeními a konzultacemi mezi odborníky nad jednotlivými případy. Z popisu je zřejmé, že se jedná o využití jak medicínské odbornosti, tak odbornosti v oblasti informačních technologií. V České republice existuje celá řada těchto aplikací, ale prostor pro další výzkum a vývoj je velmi široký jak v národním, tak globálním měřítku. Výzva v této oblasti je otevřená interdisciplinárním projektům v uvedených aplikacích. </w:t>
      </w:r>
    </w:p>
    <w:p w14:paraId="6F1963EC" w14:textId="77777777" w:rsidR="0011585E" w:rsidRDefault="0011585E" w:rsidP="0011585E">
      <w:pPr>
        <w:spacing w:after="0" w:line="240" w:lineRule="auto"/>
        <w:jc w:val="both"/>
      </w:pPr>
    </w:p>
    <w:p w14:paraId="3C1B4B92" w14:textId="77777777" w:rsidR="0011585E" w:rsidRPr="0011585E" w:rsidRDefault="0011585E" w:rsidP="0011585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b/>
        </w:rPr>
      </w:pPr>
      <w:r w:rsidRPr="0011585E">
        <w:rPr>
          <w:b/>
        </w:rPr>
        <w:lastRenderedPageBreak/>
        <w:t xml:space="preserve"> AI a udržitelná mobilita </w:t>
      </w:r>
    </w:p>
    <w:p w14:paraId="7E2EFD2C" w14:textId="77777777" w:rsidR="0011585E" w:rsidRDefault="0011585E" w:rsidP="0011585E">
      <w:pPr>
        <w:spacing w:after="0" w:line="240" w:lineRule="auto"/>
        <w:jc w:val="both"/>
      </w:pPr>
      <w:r>
        <w:t xml:space="preserve">Projekty by měly být zaměřeny mimo jiné na masivní sběr dopravních dat, jejich analýzu, kategorizaci a srozumitelný výklad s využitím metod umělé inteligence. Dopravní procesy by měly být optimalizovány například pomocí pokročilých analýz historických dat nebo vzorců poptávky, což umožní přesnější dopravní předpovědi, efektivnější plánování tras v rámci veřejně přístupných aplikací využívajících otevřená data a obecně lepší řízení logistických řetězců. Výhodou bude využití satelitních systémů jakožto velmi efektivního nástroje pro sběr dat a komunikaci s širokými možnostmi uplatnění. Projekty by měly být dále zaměřeny na rozvoj </w:t>
      </w:r>
      <w:proofErr w:type="spellStart"/>
      <w:r>
        <w:t>mobilitních</w:t>
      </w:r>
      <w:proofErr w:type="spellEnd"/>
      <w:r>
        <w:t xml:space="preserve"> služeb, založených na sdílení či spoluužívání dopravních prostředků, dále na vývoj v oblasti pokročile automatizovaných vozidel pro osobní i hromadnou dopravu s vyšší aktivní bezpečností či chytrá logistická řešení uskutečňovaná za pomoci dronů. </w:t>
      </w:r>
    </w:p>
    <w:p w14:paraId="6BB378B8" w14:textId="77777777" w:rsidR="0011585E" w:rsidRDefault="0011585E" w:rsidP="0011585E">
      <w:pPr>
        <w:spacing w:after="0" w:line="240" w:lineRule="auto"/>
        <w:jc w:val="both"/>
      </w:pPr>
    </w:p>
    <w:p w14:paraId="5F2B0EDF" w14:textId="77777777" w:rsidR="0011585E" w:rsidRPr="0011585E" w:rsidRDefault="0011585E" w:rsidP="0011585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b/>
        </w:rPr>
      </w:pPr>
      <w:r w:rsidRPr="0011585E">
        <w:rPr>
          <w:b/>
        </w:rPr>
        <w:t>Výrobní technologie a materiály</w:t>
      </w:r>
    </w:p>
    <w:p w14:paraId="11E66DBC" w14:textId="77777777" w:rsidR="0011585E" w:rsidRDefault="0011585E" w:rsidP="0011585E">
      <w:pPr>
        <w:spacing w:after="0" w:line="240" w:lineRule="auto"/>
        <w:jc w:val="both"/>
      </w:pPr>
      <w:r>
        <w:t xml:space="preserve">Moderní výrobní technologie, využívající nástrojů umělé inteligence, strojového učení, robotizace, digitalizace, modelování a simulací, mají potenciál zvyšovat jak kvalitu výsledných produktů, tak i efektivitu a produktivitu průmyslové výroby a současně snižovat spotřebu energií a surovin a další související negativní dopady na životní prostředí. Snižování energetické a materiálové náročnosti výroby lze dosáhnout i využitím moderních typů materiálů, zohledňujících principy cirkulární ekonomiky. Výzva je zaměřena na podporu projektů vývoje moderních postupů výroby a využití moderních materiálů ve všech oblastech průmyslu, přispívající k zefektivnění materiálové, energetické a emisní náročnosti ekonomiky prostřednictvím výše uvedených nástrojů. </w:t>
      </w:r>
    </w:p>
    <w:p w14:paraId="500C8E47" w14:textId="77777777" w:rsidR="0011585E" w:rsidRDefault="0011585E" w:rsidP="0011585E">
      <w:pPr>
        <w:spacing w:after="0" w:line="240" w:lineRule="auto"/>
        <w:jc w:val="both"/>
      </w:pPr>
    </w:p>
    <w:p w14:paraId="0CBB107D" w14:textId="77777777" w:rsidR="0011585E" w:rsidRPr="0011585E" w:rsidRDefault="0011585E" w:rsidP="0011585E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b/>
        </w:rPr>
      </w:pPr>
      <w:r w:rsidRPr="0011585E">
        <w:rPr>
          <w:b/>
        </w:rPr>
        <w:t xml:space="preserve"> Komunitní energetika a její systémy řízení, ukládání energie v malém měřítku </w:t>
      </w:r>
    </w:p>
    <w:p w14:paraId="7F7444F4" w14:textId="77777777" w:rsidR="0011585E" w:rsidRPr="0011585E" w:rsidRDefault="0011585E" w:rsidP="0011585E">
      <w:pPr>
        <w:spacing w:after="0" w:line="240" w:lineRule="auto"/>
        <w:jc w:val="both"/>
      </w:pPr>
      <w:r>
        <w:t>Návrhy projektů a jejich výstupy, podpořené v této veřejné soutěži, by měly stimulovat rozvoj komunitní energetiky jakožto nástroje decentralizace energetiky a podpořit zavedení energetického společenství pro sdílení energií aktivních zákazníků. Praktické modely a technologie pro zvýšení regionalizace jsou především v poskytování flexibility, což vyžaduje nové přístupy k inteligentní digitalizaci, zejména využití flexibilních energetických zařízení a také otevřené technologie, základní softwarové nástroje a další technické produkty.</w:t>
      </w:r>
    </w:p>
    <w:p w14:paraId="2A8631AA" w14:textId="77777777" w:rsidR="0011585E" w:rsidRPr="00970A1B" w:rsidRDefault="0011585E" w:rsidP="003D4328">
      <w:pPr>
        <w:spacing w:after="0" w:line="240" w:lineRule="auto"/>
        <w:rPr>
          <w:b/>
          <w:color w:val="1F4E79" w:themeColor="accent1" w:themeShade="80"/>
          <w:sz w:val="28"/>
          <w:szCs w:val="28"/>
          <w:highlight w:val="yellow"/>
        </w:rPr>
      </w:pPr>
    </w:p>
    <w:p w14:paraId="792C0552" w14:textId="77777777" w:rsidR="0057770F" w:rsidRPr="002F5811" w:rsidRDefault="0057770F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2F5811">
        <w:rPr>
          <w:b/>
          <w:color w:val="1F4E79" w:themeColor="accent1" w:themeShade="80"/>
          <w:sz w:val="28"/>
          <w:szCs w:val="28"/>
        </w:rPr>
        <w:t>Uchazeči:</w:t>
      </w:r>
    </w:p>
    <w:p w14:paraId="28D50E55" w14:textId="77777777" w:rsidR="003D4328" w:rsidRDefault="00AB60CA" w:rsidP="003D4328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2F5811">
        <w:t xml:space="preserve">podniky  </w:t>
      </w:r>
    </w:p>
    <w:p w14:paraId="109389F4" w14:textId="77777777" w:rsidR="0083332B" w:rsidRPr="002F5811" w:rsidRDefault="00AB60CA" w:rsidP="003D4328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 w:rsidRPr="002F5811">
        <w:t>výzkumné organizace</w:t>
      </w:r>
    </w:p>
    <w:p w14:paraId="07201C87" w14:textId="77777777" w:rsidR="00006642" w:rsidRDefault="00006642" w:rsidP="003D4328">
      <w:pPr>
        <w:spacing w:after="0" w:line="240" w:lineRule="auto"/>
        <w:jc w:val="both"/>
        <w:rPr>
          <w:highlight w:val="yellow"/>
        </w:rPr>
      </w:pPr>
    </w:p>
    <w:p w14:paraId="75F31412" w14:textId="77777777" w:rsidR="00006642" w:rsidRPr="00006642" w:rsidRDefault="00006642" w:rsidP="003D4328">
      <w:pPr>
        <w:spacing w:after="0" w:line="240" w:lineRule="auto"/>
        <w:jc w:val="both"/>
        <w:rPr>
          <w:b/>
          <w:highlight w:val="yellow"/>
        </w:rPr>
      </w:pPr>
      <w:r w:rsidRPr="00006642">
        <w:rPr>
          <w:b/>
        </w:rPr>
        <w:t>V návrhu projektu musí být (v roli hlavního uchazeče nebo dalšího účastníka) minimálně jeden podnik a minimálně jedna výzkumná organizace.</w:t>
      </w:r>
    </w:p>
    <w:p w14:paraId="0955FD1D" w14:textId="77777777" w:rsidR="00A863FE" w:rsidRPr="002F5811" w:rsidRDefault="00A863FE" w:rsidP="003D4328">
      <w:pPr>
        <w:spacing w:after="0" w:line="240" w:lineRule="auto"/>
      </w:pPr>
    </w:p>
    <w:p w14:paraId="42DBFDB4" w14:textId="77777777" w:rsidR="002F21BE" w:rsidRPr="002F5811" w:rsidRDefault="002F21BE" w:rsidP="003D4328">
      <w:pPr>
        <w:spacing w:after="0" w:line="240" w:lineRule="auto"/>
      </w:pPr>
      <w:r w:rsidRPr="002F5811">
        <w:t xml:space="preserve">Hlavní uchazeč může: </w:t>
      </w:r>
    </w:p>
    <w:p w14:paraId="0CA0B6C3" w14:textId="77777777" w:rsidR="003D4328" w:rsidRDefault="002F21BE" w:rsidP="003D4328">
      <w:pPr>
        <w:pStyle w:val="Odstavecseseznamem"/>
        <w:numPr>
          <w:ilvl w:val="0"/>
          <w:numId w:val="35"/>
        </w:numPr>
        <w:spacing w:after="0" w:line="240" w:lineRule="auto"/>
      </w:pPr>
      <w:r w:rsidRPr="002F5811">
        <w:t xml:space="preserve">být pouze subjekt, který má sídlo, provozovnu nebo pobočku v České republice; </w:t>
      </w:r>
    </w:p>
    <w:p w14:paraId="0C901E8D" w14:textId="77777777" w:rsidR="002B225D" w:rsidRPr="002F5811" w:rsidRDefault="002F21BE" w:rsidP="003D4328">
      <w:pPr>
        <w:pStyle w:val="Odstavecseseznamem"/>
        <w:numPr>
          <w:ilvl w:val="0"/>
          <w:numId w:val="35"/>
        </w:numPr>
        <w:spacing w:after="0" w:line="240" w:lineRule="auto"/>
      </w:pPr>
      <w:r w:rsidRPr="002F5811">
        <w:t>podat neomezený počet návrhů projektů (aby mohl být návrh projektu podpořen, je nutné splnit podmínky stanovené v kapitole 3.</w:t>
      </w:r>
      <w:r w:rsidR="003D4328">
        <w:t>4</w:t>
      </w:r>
      <w:r w:rsidRPr="002F5811">
        <w:t xml:space="preserve"> Vymezení se vůči vlastním obdobným projektům).</w:t>
      </w:r>
    </w:p>
    <w:p w14:paraId="0FF0B42F" w14:textId="77777777" w:rsidR="00A863FE" w:rsidRPr="002F5811" w:rsidRDefault="00A863FE" w:rsidP="003D4328">
      <w:pPr>
        <w:spacing w:after="0" w:line="240" w:lineRule="auto"/>
      </w:pPr>
    </w:p>
    <w:p w14:paraId="203D21F4" w14:textId="77777777" w:rsidR="002F21BE" w:rsidRPr="002F5811" w:rsidRDefault="002F21BE" w:rsidP="003D4328">
      <w:pPr>
        <w:spacing w:after="0" w:line="240" w:lineRule="auto"/>
        <w:jc w:val="both"/>
        <w:rPr>
          <w:b/>
          <w:color w:val="1F4E79" w:themeColor="accent1" w:themeShade="80"/>
          <w:sz w:val="28"/>
          <w:szCs w:val="28"/>
        </w:rPr>
      </w:pPr>
      <w:r w:rsidRPr="002F5811">
        <w:t>Další účastník může být subjekt se sídlem v členském státě Evropské unie (včetně České republiky), v jiném státě tvořícím Evropský hospodářský prostor nebo ve Švýcarské konfederaci.</w:t>
      </w:r>
    </w:p>
    <w:p w14:paraId="644C4DED" w14:textId="77777777" w:rsidR="00970A1B" w:rsidRDefault="00970A1B" w:rsidP="003D4328">
      <w:pPr>
        <w:spacing w:after="0" w:line="240" w:lineRule="auto"/>
        <w:jc w:val="both"/>
        <w:rPr>
          <w:b/>
          <w:color w:val="1F4E79" w:themeColor="accent1" w:themeShade="80"/>
          <w:sz w:val="28"/>
          <w:szCs w:val="28"/>
        </w:rPr>
      </w:pPr>
    </w:p>
    <w:p w14:paraId="5E567774" w14:textId="77777777" w:rsidR="00006642" w:rsidRPr="004D1883" w:rsidRDefault="00970A1B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DA0DE1">
        <w:rPr>
          <w:b/>
          <w:color w:val="1F4E79" w:themeColor="accent1" w:themeShade="80"/>
          <w:sz w:val="28"/>
          <w:szCs w:val="28"/>
        </w:rPr>
        <w:t>Řešitelský tým</w:t>
      </w:r>
    </w:p>
    <w:p w14:paraId="36318EBC" w14:textId="77777777" w:rsidR="00970A1B" w:rsidRDefault="00970A1B" w:rsidP="003D4328">
      <w:pPr>
        <w:spacing w:after="0" w:line="240" w:lineRule="auto"/>
        <w:rPr>
          <w:b/>
        </w:rPr>
      </w:pPr>
      <w:r w:rsidRPr="00006642">
        <w:rPr>
          <w:b/>
        </w:rPr>
        <w:t xml:space="preserve">Začínající výzkumník/výzkumnice </w:t>
      </w:r>
    </w:p>
    <w:p w14:paraId="263D83DC" w14:textId="77777777" w:rsidR="0011585E" w:rsidRDefault="0011585E" w:rsidP="0011585E">
      <w:pPr>
        <w:pStyle w:val="Odstavecseseznamem"/>
        <w:numPr>
          <w:ilvl w:val="0"/>
          <w:numId w:val="35"/>
        </w:numPr>
        <w:spacing w:after="0" w:line="240" w:lineRule="auto"/>
      </w:pPr>
      <w:r>
        <w:t xml:space="preserve">je osoba, která je uvedena mezi klíčovými osobami v řešitelském týmu (hlavní řešitel/další řešitel/člen řešitelského týmu) a splňuje jednu z následujících podmínek: </w:t>
      </w:r>
    </w:p>
    <w:p w14:paraId="20F8664A" w14:textId="77777777" w:rsidR="0011585E" w:rsidRDefault="0011585E" w:rsidP="0011585E">
      <w:pPr>
        <w:pStyle w:val="Odstavecseseznamem"/>
        <w:numPr>
          <w:ilvl w:val="2"/>
          <w:numId w:val="35"/>
        </w:numPr>
        <w:spacing w:after="0" w:line="240" w:lineRule="auto"/>
      </w:pPr>
      <w:r>
        <w:t xml:space="preserve">osoba do 35 let; </w:t>
      </w:r>
    </w:p>
    <w:p w14:paraId="7478F6C7" w14:textId="77777777" w:rsidR="0011585E" w:rsidRDefault="0011585E" w:rsidP="0011585E">
      <w:pPr>
        <w:pStyle w:val="Odstavecseseznamem"/>
        <w:numPr>
          <w:ilvl w:val="2"/>
          <w:numId w:val="35"/>
        </w:numPr>
        <w:spacing w:after="0" w:line="240" w:lineRule="auto"/>
      </w:pPr>
      <w:r>
        <w:lastRenderedPageBreak/>
        <w:t xml:space="preserve">student bakalářského, magisterského, doktorského studia nad 35 let; </w:t>
      </w:r>
    </w:p>
    <w:p w14:paraId="5FA01E96" w14:textId="77777777" w:rsidR="0011585E" w:rsidRDefault="0011585E" w:rsidP="0011585E">
      <w:pPr>
        <w:pStyle w:val="Odstavecseseznamem"/>
        <w:numPr>
          <w:ilvl w:val="2"/>
          <w:numId w:val="35"/>
        </w:numPr>
        <w:spacing w:after="0" w:line="240" w:lineRule="auto"/>
      </w:pPr>
      <w:r>
        <w:t xml:space="preserve">absolvent, kterému od prvního řádného ukončení nejvyššího stupně studia uběhlo max. 5 let; </w:t>
      </w:r>
    </w:p>
    <w:p w14:paraId="1CC248B8" w14:textId="77777777" w:rsidR="0011585E" w:rsidRDefault="0011585E" w:rsidP="0011585E">
      <w:pPr>
        <w:pStyle w:val="Odstavecseseznamem"/>
        <w:numPr>
          <w:ilvl w:val="0"/>
          <w:numId w:val="35"/>
        </w:numPr>
        <w:spacing w:after="0" w:line="240" w:lineRule="auto"/>
      </w:pPr>
      <w:r>
        <w:t xml:space="preserve">v případě čerpání mateřské dovolené, rodičovské dovolené (maximální započitatelná doba u prvního dítěte jsou 2 roky, v případě dvou a více dětí nejvýše 4 roky), nebo nemocenské, ošetřovného či dlouhodobě ošetřovného (vše v délce trvání přesahující 6 měsíců) je možné dobu strávenou péčí nebo léčbou přičíst k výše uvedeným lhůtám; </w:t>
      </w:r>
    </w:p>
    <w:p w14:paraId="646C87B8" w14:textId="77777777" w:rsidR="0011585E" w:rsidRDefault="0011585E" w:rsidP="0011585E">
      <w:pPr>
        <w:pStyle w:val="Odstavecseseznamem"/>
        <w:numPr>
          <w:ilvl w:val="0"/>
          <w:numId w:val="35"/>
        </w:numPr>
        <w:spacing w:after="0" w:line="240" w:lineRule="auto"/>
      </w:pPr>
      <w:r>
        <w:t xml:space="preserve">v </w:t>
      </w:r>
      <w:r w:rsidRPr="0011585E">
        <w:rPr>
          <w:b/>
        </w:rPr>
        <w:t>klíčových osobách řešitelského týmu musí být uvedeni minimálně 3 začínající výzkumníci/výzkumnice</w:t>
      </w:r>
      <w:r>
        <w:t xml:space="preserve"> (v součtu za všechny uchazeče). Každý z uchazečů musí mít minimálně jednoho začínajícího výzkumníka/výzkumnici. V případě, že bude osob uvedeno více, všechny musí splňovat definici a podmínky uvedené v zadávací dokumentaci; </w:t>
      </w:r>
    </w:p>
    <w:p w14:paraId="329F859F" w14:textId="77777777" w:rsidR="00DA0DE1" w:rsidRPr="00805A10" w:rsidRDefault="0011585E" w:rsidP="0011585E">
      <w:pPr>
        <w:pStyle w:val="Odstavecseseznamem"/>
        <w:numPr>
          <w:ilvl w:val="0"/>
          <w:numId w:val="35"/>
        </w:numPr>
        <w:spacing w:after="0" w:line="240" w:lineRule="auto"/>
        <w:rPr>
          <w:b/>
        </w:rPr>
      </w:pPr>
      <w:r w:rsidRPr="00805A10">
        <w:rPr>
          <w:b/>
        </w:rPr>
        <w:t>definice začínajícího výzkumníka/výzkumnice musí být splněna do termínu konce soutěžní lhůty, tedy k 27. 3. 2024.</w:t>
      </w:r>
    </w:p>
    <w:p w14:paraId="2CD5EE31" w14:textId="77777777" w:rsidR="0011585E" w:rsidRPr="00115926" w:rsidRDefault="0011585E" w:rsidP="0011585E">
      <w:pPr>
        <w:pStyle w:val="Odstavecseseznamem"/>
        <w:spacing w:after="0" w:line="240" w:lineRule="auto"/>
        <w:ind w:left="360"/>
      </w:pPr>
    </w:p>
    <w:p w14:paraId="261FA7F1" w14:textId="77777777" w:rsidR="00970A1B" w:rsidRPr="00006642" w:rsidRDefault="00970A1B" w:rsidP="003D4328">
      <w:pPr>
        <w:spacing w:after="0" w:line="240" w:lineRule="auto"/>
        <w:rPr>
          <w:b/>
        </w:rPr>
      </w:pPr>
      <w:r w:rsidRPr="00006642">
        <w:rPr>
          <w:b/>
        </w:rPr>
        <w:t xml:space="preserve">Mentor </w:t>
      </w:r>
    </w:p>
    <w:p w14:paraId="277A8FBC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je osoba, jejíž rolí je vedení a motivování začínajících výzkumníků/výzkumnic a předávání odborných zkušeností v dané problematice; </w:t>
      </w:r>
    </w:p>
    <w:p w14:paraId="23E8E834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má odpovídající zkušenosti z akademické a/nebo aplikační sféry, je uveden mezi členy řešitelského týmu, ale přímo se nepodílí na řešení projektu; </w:t>
      </w:r>
    </w:p>
    <w:p w14:paraId="3920E29D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>v této roli může být maximálně 1 osoba na uchazeče, zapojení je však dobrovolné, tzn. tato role nemusí být v návrhu projektu zastoupena, vždy je třeba v návrhu tuto skutečnost okomentovat;</w:t>
      </w:r>
    </w:p>
    <w:p w14:paraId="3DA28511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na každého mentora jsou uznatelné pouze osobní náklady, a to do výše maximálně 50 tis. Kč/kalendářní rok; </w:t>
      </w:r>
    </w:p>
    <w:p w14:paraId="1ED7A376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může mít i nulové osobní náklady (tzn. nenárokovat si odměnu); </w:t>
      </w:r>
    </w:p>
    <w:p w14:paraId="51A6A7E1" w14:textId="77777777" w:rsidR="00805A10" w:rsidRPr="00805A10" w:rsidRDefault="00805A10" w:rsidP="00805A10">
      <w:pPr>
        <w:pStyle w:val="Odstavecseseznamem"/>
        <w:numPr>
          <w:ilvl w:val="0"/>
          <w:numId w:val="35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nemusí splňovat definici začínajícího výzkumníka/výzkumnice. </w:t>
      </w:r>
    </w:p>
    <w:p w14:paraId="01833D8E" w14:textId="77777777" w:rsidR="00805A10" w:rsidRDefault="00805A10" w:rsidP="00805A10">
      <w:pPr>
        <w:spacing w:after="0" w:line="240" w:lineRule="auto"/>
      </w:pPr>
    </w:p>
    <w:p w14:paraId="22DD29C2" w14:textId="77777777" w:rsidR="004D1883" w:rsidRPr="00805A10" w:rsidRDefault="00805A10" w:rsidP="00805A10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>Dále mohou být do řešitelského týmu zapojeny osoby v roli ostatní osoby podílející se na řešení projektu. Osoby v této roli nemusí splňovat definici začínajícího výzkumníka/výzkumnice. Tyto osoby nejsou klíčové pro řešení projektu a nepodílejí se na hlavní výzkumné činnosti. Může se jednat například o administrativní nebo technickou podporu řešení projektu, tedy není přípustné, aby mezi ostatní osoby byly zařazeny klíčové osoby, které nesplňují definici začínajícího výzkumníka/výzkumnice.</w:t>
      </w:r>
    </w:p>
    <w:p w14:paraId="1997C1A9" w14:textId="77777777" w:rsidR="00805A10" w:rsidRDefault="00805A10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6DED28A0" w14:textId="77777777" w:rsidR="00A863FE" w:rsidRPr="00525099" w:rsidRDefault="00BB35D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14:paraId="3E3C7B79" w14:textId="77777777" w:rsidR="00BB35D3" w:rsidRPr="000036D5" w:rsidRDefault="00BB35D3" w:rsidP="003D4328">
      <w:pPr>
        <w:spacing w:after="0" w:line="240" w:lineRule="auto"/>
        <w:rPr>
          <w:b/>
        </w:rPr>
      </w:pPr>
      <w:r w:rsidRPr="005A37C6">
        <w:t xml:space="preserve">Alokace soutěže </w:t>
      </w:r>
      <w:r w:rsidRPr="005A37C6">
        <w:rPr>
          <w:b/>
        </w:rPr>
        <w:t xml:space="preserve">– </w:t>
      </w:r>
      <w:r w:rsidR="00970A1B">
        <w:rPr>
          <w:b/>
        </w:rPr>
        <w:t>230</w:t>
      </w:r>
      <w:r>
        <w:rPr>
          <w:b/>
        </w:rPr>
        <w:t xml:space="preserve"> miliónů</w:t>
      </w:r>
      <w:r w:rsidRPr="005A37C6">
        <w:rPr>
          <w:b/>
        </w:rPr>
        <w:t xml:space="preserve"> Kč</w:t>
      </w:r>
    </w:p>
    <w:p w14:paraId="31599E0F" w14:textId="77777777" w:rsidR="00BB35D3" w:rsidRPr="000036D5" w:rsidRDefault="00BB35D3" w:rsidP="003D4328">
      <w:pPr>
        <w:spacing w:after="0" w:line="240" w:lineRule="auto"/>
        <w:rPr>
          <w:b/>
        </w:rPr>
      </w:pPr>
      <w:r w:rsidRPr="000036D5">
        <w:t>Maximální částka podpory na jeden projekt -</w:t>
      </w:r>
      <w:r w:rsidR="00970A1B">
        <w:rPr>
          <w:b/>
        </w:rPr>
        <w:t xml:space="preserve"> 5</w:t>
      </w:r>
      <w:r w:rsidRPr="000036D5">
        <w:rPr>
          <w:b/>
        </w:rPr>
        <w:t xml:space="preserve"> mil. Kč</w:t>
      </w:r>
    </w:p>
    <w:p w14:paraId="56117BC4" w14:textId="77777777" w:rsidR="00BB35D3" w:rsidRPr="001923C1" w:rsidRDefault="00BB35D3" w:rsidP="003D4328">
      <w:pPr>
        <w:spacing w:after="0" w:line="240" w:lineRule="auto"/>
        <w:rPr>
          <w:b/>
        </w:rPr>
      </w:pPr>
      <w:r w:rsidRPr="000036D5">
        <w:t xml:space="preserve">Maximální intenzita podpory na projekt - </w:t>
      </w:r>
      <w:r>
        <w:rPr>
          <w:b/>
        </w:rPr>
        <w:t>8</w:t>
      </w:r>
      <w:r w:rsidR="00970A1B">
        <w:rPr>
          <w:b/>
        </w:rPr>
        <w:t>5</w:t>
      </w:r>
      <w:r w:rsidRPr="000036D5">
        <w:rPr>
          <w:b/>
        </w:rPr>
        <w:t xml:space="preserve"> %</w:t>
      </w:r>
    </w:p>
    <w:p w14:paraId="77C5F1A1" w14:textId="77777777" w:rsidR="00BB35D3" w:rsidRDefault="00BB35D3" w:rsidP="003D4328">
      <w:pPr>
        <w:spacing w:after="0" w:line="240" w:lineRule="auto"/>
        <w:rPr>
          <w:b/>
        </w:rPr>
      </w:pPr>
      <w:r w:rsidRPr="00126231">
        <w:rPr>
          <w:b/>
        </w:rPr>
        <w:t xml:space="preserve">Maximální intenzita podpory pro výzkumnou organizaci </w:t>
      </w:r>
      <w:proofErr w:type="gramStart"/>
      <w:r w:rsidRPr="00126231">
        <w:rPr>
          <w:b/>
        </w:rPr>
        <w:t>-  100</w:t>
      </w:r>
      <w:proofErr w:type="gramEnd"/>
      <w:r w:rsidRPr="00126231">
        <w:rPr>
          <w:b/>
        </w:rPr>
        <w:t>%</w:t>
      </w:r>
    </w:p>
    <w:p w14:paraId="7FD3AF1C" w14:textId="77777777" w:rsidR="00805A10" w:rsidRDefault="00805A10" w:rsidP="003D4328">
      <w:pPr>
        <w:spacing w:after="0" w:line="240" w:lineRule="auto"/>
        <w:rPr>
          <w:b/>
        </w:rPr>
      </w:pPr>
    </w:p>
    <w:p w14:paraId="76F1CEAA" w14:textId="77777777" w:rsidR="00805A10" w:rsidRPr="00805A10" w:rsidRDefault="00805A10" w:rsidP="003D4328">
      <w:pPr>
        <w:spacing w:after="0" w:line="240" w:lineRule="auto"/>
        <w:rPr>
          <w:b/>
          <w:color w:val="FF0000"/>
        </w:rPr>
      </w:pPr>
      <w:r w:rsidRPr="00805A10">
        <w:rPr>
          <w:b/>
          <w:color w:val="FF0000"/>
        </w:rPr>
        <w:t xml:space="preserve">Uchazeči, kteří plánují začátek realizace projektu v listopadu nebo prosinci 2024, musí aktivity tohoto roku prozatímně financovat z vlastních zdrojů s tím, že je následně zahrnou do nákladů roku 2025. Za rok 2024 příjemci nebudou podávat průběžnou zprávu a vše shrnou ve zprávě za rok 2025. </w:t>
      </w:r>
    </w:p>
    <w:p w14:paraId="35923596" w14:textId="77777777" w:rsidR="00805A10" w:rsidRDefault="00805A10" w:rsidP="003D4328">
      <w:pPr>
        <w:spacing w:after="0" w:line="240" w:lineRule="auto"/>
      </w:pPr>
    </w:p>
    <w:p w14:paraId="451E8FA3" w14:textId="77777777" w:rsidR="00BB35D3" w:rsidRDefault="00805A10" w:rsidP="003D4328">
      <w:pPr>
        <w:spacing w:after="0" w:line="240" w:lineRule="auto"/>
      </w:pPr>
      <w:r>
        <w:t>V této veřejné soutěži je stanovena specifická alokace pro strukturálně postižené regiony (</w:t>
      </w:r>
      <w:proofErr w:type="gramStart"/>
      <w:r>
        <w:t>RE:START</w:t>
      </w:r>
      <w:proofErr w:type="gramEnd"/>
      <w:r>
        <w:t xml:space="preserve">) v celkové výši 18,4 mil. Kč. Z této alokace je 9,2 mil. Kč určeno pro Ústecký a Karlovarský kraj (region NUTS II Severozápad) – a 9,2 mil. Kč pro Moravskoslezský kraj (region NUTS II </w:t>
      </w:r>
      <w:proofErr w:type="spellStart"/>
      <w:r>
        <w:t>Moravskoslezsko</w:t>
      </w:r>
      <w:proofErr w:type="spellEnd"/>
      <w:r>
        <w:t>).</w:t>
      </w:r>
    </w:p>
    <w:p w14:paraId="40793961" w14:textId="77777777" w:rsidR="00805A10" w:rsidRDefault="00805A10" w:rsidP="003D4328">
      <w:pPr>
        <w:spacing w:after="0" w:line="240" w:lineRule="auto"/>
        <w:rPr>
          <w:b/>
          <w:sz w:val="28"/>
          <w:highlight w:val="yellow"/>
        </w:rPr>
      </w:pPr>
    </w:p>
    <w:p w14:paraId="059B1DED" w14:textId="77777777" w:rsidR="00805A10" w:rsidRDefault="00805A10" w:rsidP="003D4328">
      <w:pPr>
        <w:spacing w:after="0" w:line="240" w:lineRule="auto"/>
        <w:rPr>
          <w:b/>
          <w:sz w:val="28"/>
          <w:highlight w:val="yellow"/>
        </w:rPr>
      </w:pPr>
    </w:p>
    <w:p w14:paraId="2AD7BEDA" w14:textId="77777777" w:rsidR="00805A10" w:rsidRPr="00115926" w:rsidRDefault="00805A10" w:rsidP="003D4328">
      <w:pPr>
        <w:spacing w:after="0" w:line="240" w:lineRule="auto"/>
        <w:rPr>
          <w:b/>
          <w:sz w:val="28"/>
          <w:highlight w:val="yellow"/>
        </w:rPr>
      </w:pPr>
    </w:p>
    <w:p w14:paraId="31C17C0D" w14:textId="77777777" w:rsidR="00A863FE" w:rsidRPr="00970A1B" w:rsidRDefault="00BB35D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970A1B">
        <w:rPr>
          <w:b/>
          <w:color w:val="1F4E79" w:themeColor="accent1" w:themeShade="80"/>
          <w:sz w:val="28"/>
          <w:szCs w:val="28"/>
        </w:rPr>
        <w:lastRenderedPageBreak/>
        <w:t xml:space="preserve">Způsobilé náklady:  </w:t>
      </w:r>
    </w:p>
    <w:p w14:paraId="66C0C3CE" w14:textId="77777777" w:rsidR="00115926" w:rsidRDefault="00BB35D3" w:rsidP="0011592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970A1B">
        <w:rPr>
          <w:rFonts w:asciiTheme="minorHAnsi" w:hAnsiTheme="minorHAnsi" w:cstheme="minorHAnsi"/>
          <w:sz w:val="22"/>
          <w:szCs w:val="22"/>
        </w:rPr>
        <w:t xml:space="preserve">osobní náklady </w:t>
      </w:r>
    </w:p>
    <w:p w14:paraId="0C24A1D0" w14:textId="77777777" w:rsidR="00115926" w:rsidRDefault="00BB35D3" w:rsidP="0011592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15926">
        <w:rPr>
          <w:rFonts w:asciiTheme="minorHAnsi" w:hAnsiTheme="minorHAnsi" w:cstheme="minorHAnsi"/>
          <w:sz w:val="22"/>
          <w:szCs w:val="22"/>
        </w:rPr>
        <w:t>stipendia (</w:t>
      </w:r>
      <w:r w:rsidRPr="00115926">
        <w:rPr>
          <w:rFonts w:asciiTheme="minorHAnsi" w:hAnsiTheme="minorHAnsi" w:cstheme="minorHAnsi"/>
          <w:b/>
          <w:sz w:val="22"/>
          <w:szCs w:val="22"/>
        </w:rPr>
        <w:t>na VUT není tento náklad doporučován!)</w:t>
      </w:r>
      <w:r w:rsidRPr="0011592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4605238" w14:textId="77777777" w:rsidR="00115926" w:rsidRDefault="00BB35D3" w:rsidP="0011592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15926">
        <w:rPr>
          <w:rFonts w:asciiTheme="minorHAnsi" w:hAnsiTheme="minorHAnsi" w:cstheme="minorHAnsi"/>
          <w:sz w:val="22"/>
          <w:szCs w:val="22"/>
        </w:rPr>
        <w:t xml:space="preserve">náklady na subdodávky; </w:t>
      </w:r>
    </w:p>
    <w:p w14:paraId="2E3F2E3F" w14:textId="77777777" w:rsidR="00115926" w:rsidRDefault="00BB35D3" w:rsidP="0011592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15926">
        <w:rPr>
          <w:rFonts w:asciiTheme="minorHAnsi" w:hAnsiTheme="minorHAnsi" w:cstheme="minorHAnsi"/>
          <w:sz w:val="22"/>
          <w:szCs w:val="22"/>
        </w:rPr>
        <w:t xml:space="preserve">ostatní přímé náklady; </w:t>
      </w:r>
    </w:p>
    <w:p w14:paraId="48DE0320" w14:textId="77777777" w:rsidR="00BB35D3" w:rsidRPr="00115926" w:rsidRDefault="00BB35D3" w:rsidP="00115926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nepřímé náklady full </w:t>
      </w:r>
      <w:proofErr w:type="spellStart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>cost</w:t>
      </w:r>
      <w:proofErr w:type="spellEnd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nebo </w:t>
      </w:r>
      <w:proofErr w:type="spellStart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>flat</w:t>
      </w:r>
      <w:proofErr w:type="spellEnd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proofErr w:type="spellStart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>rate</w:t>
      </w:r>
      <w:proofErr w:type="spellEnd"/>
      <w:r w:rsidRPr="0011592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výše 25%  </w:t>
      </w:r>
    </w:p>
    <w:p w14:paraId="082AAD1C" w14:textId="77777777" w:rsidR="003D4328" w:rsidRPr="00970A1B" w:rsidRDefault="003D4328" w:rsidP="003D4328">
      <w:pPr>
        <w:spacing w:after="0" w:line="240" w:lineRule="auto"/>
        <w:rPr>
          <w:b/>
          <w:color w:val="1F4E79" w:themeColor="accent1" w:themeShade="80"/>
          <w:sz w:val="28"/>
          <w:szCs w:val="28"/>
          <w:highlight w:val="yellow"/>
        </w:rPr>
      </w:pPr>
    </w:p>
    <w:p w14:paraId="683FAD69" w14:textId="77777777" w:rsidR="00A863FE" w:rsidRPr="00DA0DE1" w:rsidRDefault="00F7228A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DA0DE1">
        <w:rPr>
          <w:b/>
          <w:color w:val="1F4E79" w:themeColor="accent1" w:themeShade="80"/>
          <w:sz w:val="28"/>
          <w:szCs w:val="28"/>
        </w:rPr>
        <w:t xml:space="preserve">Vymezení se vůči vlastním obdobným projektům: </w:t>
      </w:r>
    </w:p>
    <w:p w14:paraId="6DEC95B8" w14:textId="77777777" w:rsidR="00805A10" w:rsidRDefault="00805A10" w:rsidP="003D4328">
      <w:pPr>
        <w:spacing w:after="0" w:line="240" w:lineRule="auto"/>
      </w:pPr>
      <w:r>
        <w:t xml:space="preserve">Uchazeči v případě podobného zaměření návrhu projektu (zejména v případě shody klíčové osoby v řešitelském týmu) jsou povinni uvést vlastní: </w:t>
      </w:r>
    </w:p>
    <w:p w14:paraId="2838A85C" w14:textId="77777777" w:rsidR="00805A10" w:rsidRPr="00805A10" w:rsidRDefault="00805A10" w:rsidP="00805A10">
      <w:pPr>
        <w:pStyle w:val="Odstavecseseznamem"/>
        <w:numPr>
          <w:ilvl w:val="0"/>
          <w:numId w:val="38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ukončené projekty, pokud plánované výstupy/výsledky návrhu projektu na ně navazují, a tuto návaznost popsat; </w:t>
      </w:r>
    </w:p>
    <w:p w14:paraId="209F9649" w14:textId="77777777" w:rsidR="00805A10" w:rsidRPr="00805A10" w:rsidRDefault="00805A10" w:rsidP="00805A10">
      <w:pPr>
        <w:pStyle w:val="Odstavecseseznamem"/>
        <w:numPr>
          <w:ilvl w:val="0"/>
          <w:numId w:val="38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aktuálně řešené související projekty a popsat odlišnosti mezi těmito projekty s návrhem projektu podávaným do této veřejné soutěže; </w:t>
      </w:r>
    </w:p>
    <w:p w14:paraId="25551F3A" w14:textId="77777777" w:rsidR="00805A10" w:rsidRPr="00805A10" w:rsidRDefault="00805A10" w:rsidP="00805A10">
      <w:pPr>
        <w:pStyle w:val="Odstavecseseznamem"/>
        <w:numPr>
          <w:ilvl w:val="0"/>
          <w:numId w:val="38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návrhy projektů souběžně podávané do této či jiných veřejných soutěží, kdy by při současném podpoření nedocházelo </w:t>
      </w:r>
      <w:proofErr w:type="gramStart"/>
      <w:r>
        <w:t>k</w:t>
      </w:r>
      <w:proofErr w:type="gramEnd"/>
      <w:r>
        <w:t xml:space="preserve"> dvojímu financování. V tomto případě je nutné popsat odlišnosti mezi těmito projekty; </w:t>
      </w:r>
    </w:p>
    <w:p w14:paraId="4D9BAA18" w14:textId="77777777" w:rsidR="00805A10" w:rsidRPr="00805A10" w:rsidRDefault="00805A10" w:rsidP="00805A10">
      <w:pPr>
        <w:pStyle w:val="Odstavecseseznamem"/>
        <w:numPr>
          <w:ilvl w:val="0"/>
          <w:numId w:val="38"/>
        </w:num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>
        <w:t xml:space="preserve">návrhy projektů souběžně podávané do této či jiných veřejných soutěží, kdy by při současném podpoření docházelo </w:t>
      </w:r>
      <w:proofErr w:type="gramStart"/>
      <w:r>
        <w:t>k</w:t>
      </w:r>
      <w:proofErr w:type="gramEnd"/>
      <w:r>
        <w:t xml:space="preserve"> dvojímu financování. V tomto případě je nutné uvést, že bude uzavřena pouze jedna smlouva o poskytnutí podpory a tento závazek dodržet. </w:t>
      </w:r>
    </w:p>
    <w:p w14:paraId="67D93322" w14:textId="77777777" w:rsidR="00805A10" w:rsidRDefault="00805A10" w:rsidP="00805A10">
      <w:pPr>
        <w:spacing w:after="0" w:line="240" w:lineRule="auto"/>
      </w:pPr>
    </w:p>
    <w:p w14:paraId="128B8615" w14:textId="77777777" w:rsidR="00DA0DE1" w:rsidRPr="00805A10" w:rsidRDefault="00805A10" w:rsidP="00805A10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805A10">
        <w:rPr>
          <w:b/>
          <w:color w:val="FF0000"/>
        </w:rPr>
        <w:t>S ohledem na podobné tematické zaměření této veřejné soutěže a 5. veřejné soutěže programu SIGMA – DC5, je nutné věnovat pozornost vlastním návrhům projektů a důkladně se vymezit (uvést odlišnosti či možnosti případné spolupráce mezi řešitelskými týmy), především u návrhů projektů, kde dochází k překryvu v řešitelském týmu.</w:t>
      </w:r>
    </w:p>
    <w:p w14:paraId="0DA3883B" w14:textId="77777777" w:rsidR="004D1883" w:rsidRPr="003D4328" w:rsidRDefault="004D188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55AE068A" w14:textId="77777777" w:rsidR="00A863FE" w:rsidRPr="003D4328" w:rsidRDefault="009754C2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3D4328">
        <w:rPr>
          <w:b/>
          <w:color w:val="1F4E79" w:themeColor="accent1" w:themeShade="80"/>
          <w:sz w:val="28"/>
          <w:szCs w:val="28"/>
        </w:rPr>
        <w:t>Návrh projektu:</w:t>
      </w:r>
    </w:p>
    <w:p w14:paraId="103DC470" w14:textId="77777777" w:rsidR="00A863FE" w:rsidRPr="003D4328" w:rsidRDefault="009754C2" w:rsidP="003D4328">
      <w:pPr>
        <w:spacing w:after="0" w:line="240" w:lineRule="auto"/>
      </w:pPr>
      <w:r w:rsidRPr="003D4328">
        <w:rPr>
          <w:b/>
        </w:rPr>
        <w:t xml:space="preserve">Webový portál ISTA </w:t>
      </w:r>
      <w:hyperlink r:id="rId10" w:history="1">
        <w:r w:rsidR="00805A10" w:rsidRPr="00D36199">
          <w:rPr>
            <w:rStyle w:val="Hypertextovodkaz"/>
          </w:rPr>
          <w:t>https://ista.tacr.cz/ISTA/action/Dashboard/ExternalNew/?actionId=5eopw2&amp;nbl=true&amp;uselastresult=true&amp;_browserSessionID=&amp;lang</w:t>
        </w:r>
      </w:hyperlink>
      <w:r w:rsidR="00805A10" w:rsidRPr="00805A10">
        <w:t>=</w:t>
      </w:r>
      <w:r w:rsidR="00805A10">
        <w:t xml:space="preserve"> </w:t>
      </w:r>
    </w:p>
    <w:p w14:paraId="2CA5AA2C" w14:textId="77777777" w:rsidR="00A863FE" w:rsidRPr="00115926" w:rsidRDefault="00A863FE" w:rsidP="003D4328">
      <w:pPr>
        <w:spacing w:after="0" w:line="240" w:lineRule="auto"/>
        <w:rPr>
          <w:b/>
          <w:sz w:val="28"/>
          <w:highlight w:val="yellow"/>
        </w:rPr>
      </w:pPr>
    </w:p>
    <w:p w14:paraId="6A7E1746" w14:textId="77777777" w:rsidR="00A863FE" w:rsidRPr="004D1883" w:rsidRDefault="00BB35D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DA0DE1">
        <w:rPr>
          <w:b/>
          <w:color w:val="1F4E79" w:themeColor="accent1" w:themeShade="80"/>
          <w:sz w:val="28"/>
          <w:szCs w:val="28"/>
        </w:rPr>
        <w:t>Výstupy/výsledky:</w:t>
      </w:r>
    </w:p>
    <w:p w14:paraId="024FC89A" w14:textId="77777777" w:rsidR="009754C2" w:rsidRDefault="00805A10" w:rsidP="003D4328">
      <w:pPr>
        <w:spacing w:after="0" w:line="240" w:lineRule="auto"/>
      </w:pPr>
      <w:r>
        <w:t xml:space="preserve">Uchazeči v návrhu projektu popíší předpokládané uplatnění, účel a přínosy plánovaných výstupů/výsledků. Uplatnění výstupů/výsledků v praxi zajistí podnik, který je jedním z uchazečů, popř. jiný relevantní subjekt, který zájem o využití výstupů a výsledků vyjádří např. formou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>, memorandem o spolupráci apod.</w:t>
      </w:r>
    </w:p>
    <w:p w14:paraId="49CF6C33" w14:textId="77777777" w:rsidR="00805A10" w:rsidRPr="00970A1B" w:rsidRDefault="00805A10" w:rsidP="003D4328">
      <w:pPr>
        <w:spacing w:after="0" w:line="240" w:lineRule="auto"/>
        <w:rPr>
          <w:i/>
          <w:highlight w:val="yellow"/>
          <w:u w:val="single"/>
        </w:rPr>
      </w:pPr>
    </w:p>
    <w:p w14:paraId="3576B978" w14:textId="77777777" w:rsidR="00BB35D3" w:rsidRPr="00DA0DE1" w:rsidRDefault="00BB35D3" w:rsidP="003D4328">
      <w:pPr>
        <w:spacing w:after="0" w:line="240" w:lineRule="auto"/>
        <w:rPr>
          <w:i/>
          <w:u w:val="single"/>
        </w:rPr>
      </w:pPr>
      <w:r w:rsidRPr="00DA0DE1">
        <w:rPr>
          <w:i/>
          <w:u w:val="single"/>
        </w:rPr>
        <w:t>Hlavní výstupy:</w:t>
      </w:r>
    </w:p>
    <w:p w14:paraId="26B61261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Fprum</w:t>
      </w:r>
      <w:proofErr w:type="spellEnd"/>
      <w:r w:rsidRPr="00970A1B">
        <w:rPr>
          <w:i/>
        </w:rPr>
        <w:t xml:space="preserve"> – průmyslový vzor; </w:t>
      </w:r>
    </w:p>
    <w:p w14:paraId="31EBC84A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Fuzit</w:t>
      </w:r>
      <w:proofErr w:type="spellEnd"/>
      <w:r w:rsidRPr="00970A1B">
        <w:rPr>
          <w:i/>
        </w:rPr>
        <w:t xml:space="preserve"> – užitný vzor; </w:t>
      </w:r>
    </w:p>
    <w:p w14:paraId="3D6F8970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Gprot</w:t>
      </w:r>
      <w:proofErr w:type="spellEnd"/>
      <w:r w:rsidRPr="00970A1B">
        <w:rPr>
          <w:i/>
        </w:rPr>
        <w:t xml:space="preserve"> – prototyp; </w:t>
      </w:r>
    </w:p>
    <w:p w14:paraId="7AF85D42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Gfunk</w:t>
      </w:r>
      <w:proofErr w:type="spellEnd"/>
      <w:r w:rsidRPr="00970A1B">
        <w:rPr>
          <w:i/>
        </w:rPr>
        <w:t xml:space="preserve"> – funkční vzorek;</w:t>
      </w:r>
    </w:p>
    <w:p w14:paraId="251EA96F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Hneleg</w:t>
      </w:r>
      <w:proofErr w:type="spellEnd"/>
      <w:r w:rsidRPr="00970A1B">
        <w:rPr>
          <w:i/>
        </w:rPr>
        <w:t xml:space="preserve"> – výsledky promítnuté do směrnic a předpisů nelegislativní povahy závazných v rámci kompetence příslušného poskytovatele; </w:t>
      </w:r>
    </w:p>
    <w:p w14:paraId="2456D5ED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Nmap</w:t>
      </w:r>
      <w:proofErr w:type="spellEnd"/>
      <w:r w:rsidRPr="00970A1B">
        <w:rPr>
          <w:i/>
        </w:rPr>
        <w:t xml:space="preserve">* – specializovaná mapa s odborným obsahem; </w:t>
      </w:r>
    </w:p>
    <w:p w14:paraId="3259AD54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Npam</w:t>
      </w:r>
      <w:proofErr w:type="spellEnd"/>
      <w:r w:rsidRPr="00970A1B">
        <w:rPr>
          <w:i/>
        </w:rPr>
        <w:t xml:space="preserve">* - památkový postup; </w:t>
      </w:r>
    </w:p>
    <w:p w14:paraId="355B4D40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NmetC</w:t>
      </w:r>
      <w:proofErr w:type="spellEnd"/>
      <w:r w:rsidRPr="00970A1B">
        <w:rPr>
          <w:i/>
        </w:rPr>
        <w:t xml:space="preserve">* – metodika certifikovaná oprávněným orgánem – povinnou přílohou je Formulář pro druh výsledku </w:t>
      </w:r>
      <w:proofErr w:type="spellStart"/>
      <w:r w:rsidRPr="00970A1B">
        <w:rPr>
          <w:i/>
        </w:rPr>
        <w:t>Nmet</w:t>
      </w:r>
      <w:proofErr w:type="spellEnd"/>
      <w:r w:rsidRPr="00970A1B">
        <w:rPr>
          <w:i/>
        </w:rPr>
        <w:t xml:space="preserve">; </w:t>
      </w:r>
    </w:p>
    <w:p w14:paraId="0AAF7302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lastRenderedPageBreak/>
        <w:t>NmetA</w:t>
      </w:r>
      <w:proofErr w:type="spellEnd"/>
      <w:r w:rsidRPr="00970A1B">
        <w:rPr>
          <w:i/>
        </w:rPr>
        <w:t xml:space="preserve">* – metodika a postup akreditované oprávněným orgánem – povinnou přílohou je Formulář pro druh výsledku </w:t>
      </w:r>
      <w:proofErr w:type="spellStart"/>
      <w:r w:rsidRPr="00970A1B">
        <w:rPr>
          <w:i/>
        </w:rPr>
        <w:t>Nmet</w:t>
      </w:r>
      <w:proofErr w:type="spellEnd"/>
      <w:r w:rsidRPr="00970A1B">
        <w:rPr>
          <w:i/>
        </w:rPr>
        <w:t xml:space="preserve">; </w:t>
      </w:r>
    </w:p>
    <w:p w14:paraId="07DBD6A4" w14:textId="77777777" w:rsidR="004D1883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NmetS</w:t>
      </w:r>
      <w:proofErr w:type="spellEnd"/>
      <w:r w:rsidRPr="00970A1B">
        <w:rPr>
          <w:i/>
        </w:rPr>
        <w:t xml:space="preserve">* – metodika schválená příslušným orgánem státní správy, do jehož kompetence daná problematika spadá – povinnou přílohou je Formulář pro druh výsledku </w:t>
      </w:r>
      <w:proofErr w:type="spellStart"/>
      <w:r w:rsidRPr="00970A1B">
        <w:rPr>
          <w:i/>
        </w:rPr>
        <w:t>Nmet</w:t>
      </w:r>
      <w:proofErr w:type="spellEnd"/>
      <w:r w:rsidRPr="00970A1B">
        <w:rPr>
          <w:i/>
        </w:rPr>
        <w:t xml:space="preserve">; </w:t>
      </w:r>
    </w:p>
    <w:p w14:paraId="17C60CED" w14:textId="77777777" w:rsidR="00BB35D3" w:rsidRPr="00970A1B" w:rsidRDefault="00BB35D3" w:rsidP="003D4328">
      <w:pPr>
        <w:spacing w:after="0" w:line="240" w:lineRule="auto"/>
        <w:rPr>
          <w:i/>
        </w:rPr>
      </w:pPr>
      <w:r w:rsidRPr="00970A1B">
        <w:rPr>
          <w:i/>
        </w:rPr>
        <w:t xml:space="preserve">P – patent – povinnou přílohou je patentová rešerše; </w:t>
      </w:r>
    </w:p>
    <w:p w14:paraId="23EA8E2E" w14:textId="77777777" w:rsidR="00BB35D3" w:rsidRPr="00970A1B" w:rsidRDefault="00BB35D3" w:rsidP="003D4328">
      <w:pPr>
        <w:spacing w:after="0" w:line="240" w:lineRule="auto"/>
        <w:rPr>
          <w:i/>
        </w:rPr>
      </w:pPr>
      <w:r w:rsidRPr="00970A1B">
        <w:rPr>
          <w:i/>
        </w:rPr>
        <w:t xml:space="preserve">R – software; </w:t>
      </w:r>
    </w:p>
    <w:p w14:paraId="785D4962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Zpolop</w:t>
      </w:r>
      <w:proofErr w:type="spellEnd"/>
      <w:r w:rsidRPr="00970A1B">
        <w:rPr>
          <w:i/>
        </w:rPr>
        <w:t xml:space="preserve"> – poloprovoz; </w:t>
      </w:r>
    </w:p>
    <w:p w14:paraId="2DD52A2A" w14:textId="77777777" w:rsidR="00BB35D3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Ztech</w:t>
      </w:r>
      <w:proofErr w:type="spellEnd"/>
      <w:r w:rsidRPr="00970A1B">
        <w:rPr>
          <w:i/>
        </w:rPr>
        <w:t xml:space="preserve"> – ověřená technologie. </w:t>
      </w:r>
    </w:p>
    <w:p w14:paraId="65BF66F2" w14:textId="77777777" w:rsidR="003D4328" w:rsidRPr="00970A1B" w:rsidRDefault="003D4328" w:rsidP="003D4328">
      <w:pPr>
        <w:spacing w:after="0" w:line="240" w:lineRule="auto"/>
        <w:rPr>
          <w:i/>
        </w:rPr>
      </w:pPr>
    </w:p>
    <w:p w14:paraId="7ADD3C02" w14:textId="77777777" w:rsidR="00BB35D3" w:rsidRPr="00970A1B" w:rsidRDefault="00BB35D3" w:rsidP="003D4328">
      <w:pPr>
        <w:spacing w:after="0" w:line="240" w:lineRule="auto"/>
        <w:rPr>
          <w:i/>
          <w:u w:val="single"/>
        </w:rPr>
      </w:pPr>
      <w:r w:rsidRPr="00970A1B">
        <w:rPr>
          <w:i/>
          <w:u w:val="single"/>
        </w:rPr>
        <w:t xml:space="preserve">Hlavní druhy výstupů/výsledků pouze v kombinaci s některým z výše uvedených: </w:t>
      </w:r>
    </w:p>
    <w:p w14:paraId="145420B9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A - audiovizuální</w:t>
      </w:r>
      <w:proofErr w:type="gramEnd"/>
      <w:r w:rsidRPr="00970A1B">
        <w:rPr>
          <w:i/>
        </w:rPr>
        <w:t xml:space="preserve"> tvorba; </w:t>
      </w:r>
    </w:p>
    <w:p w14:paraId="7A7826C1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B - odborná</w:t>
      </w:r>
      <w:proofErr w:type="gramEnd"/>
      <w:r w:rsidRPr="00970A1B">
        <w:rPr>
          <w:i/>
        </w:rPr>
        <w:t xml:space="preserve"> kniha; </w:t>
      </w:r>
    </w:p>
    <w:p w14:paraId="6E73BA3D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C - kapitola</w:t>
      </w:r>
      <w:proofErr w:type="gramEnd"/>
      <w:r w:rsidRPr="00970A1B">
        <w:rPr>
          <w:i/>
        </w:rPr>
        <w:t xml:space="preserve"> v odborné knize; </w:t>
      </w:r>
    </w:p>
    <w:p w14:paraId="68BCA760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D - stať</w:t>
      </w:r>
      <w:proofErr w:type="gramEnd"/>
      <w:r w:rsidRPr="00970A1B">
        <w:rPr>
          <w:i/>
        </w:rPr>
        <w:t xml:space="preserve"> ve sborníku; </w:t>
      </w:r>
    </w:p>
    <w:p w14:paraId="286DF966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E - uspořádání</w:t>
      </w:r>
      <w:proofErr w:type="gramEnd"/>
      <w:r w:rsidRPr="00970A1B">
        <w:rPr>
          <w:i/>
        </w:rPr>
        <w:t xml:space="preserve"> výstavy; </w:t>
      </w:r>
    </w:p>
    <w:p w14:paraId="1E058AA2" w14:textId="77777777" w:rsidR="00BB35D3" w:rsidRPr="00970A1B" w:rsidRDefault="00BB35D3" w:rsidP="003D4328">
      <w:pPr>
        <w:spacing w:after="0" w:line="240" w:lineRule="auto"/>
        <w:rPr>
          <w:i/>
        </w:rPr>
      </w:pPr>
      <w:proofErr w:type="spellStart"/>
      <w:r w:rsidRPr="00970A1B">
        <w:rPr>
          <w:i/>
        </w:rPr>
        <w:t>Jimp</w:t>
      </w:r>
      <w:proofErr w:type="spellEnd"/>
      <w:r w:rsidRPr="00970A1B">
        <w:rPr>
          <w:i/>
        </w:rPr>
        <w:t xml:space="preserve">*, </w:t>
      </w:r>
      <w:proofErr w:type="spellStart"/>
      <w:r w:rsidRPr="00970A1B">
        <w:rPr>
          <w:i/>
        </w:rPr>
        <w:t>Jsc</w:t>
      </w:r>
      <w:proofErr w:type="spellEnd"/>
      <w:r w:rsidRPr="00970A1B">
        <w:rPr>
          <w:i/>
        </w:rPr>
        <w:t xml:space="preserve">*, </w:t>
      </w:r>
      <w:proofErr w:type="spellStart"/>
      <w:r w:rsidRPr="00970A1B">
        <w:rPr>
          <w:i/>
        </w:rPr>
        <w:t>Jost</w:t>
      </w:r>
      <w:proofErr w:type="spellEnd"/>
      <w:r w:rsidRPr="00970A1B">
        <w:rPr>
          <w:i/>
        </w:rPr>
        <w:t xml:space="preserve">*- recenzovaný odborný článek; </w:t>
      </w:r>
    </w:p>
    <w:p w14:paraId="55A434C1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M - uspořádání</w:t>
      </w:r>
      <w:proofErr w:type="gramEnd"/>
      <w:r w:rsidRPr="00970A1B">
        <w:rPr>
          <w:i/>
        </w:rPr>
        <w:t xml:space="preserve"> konference; </w:t>
      </w:r>
    </w:p>
    <w:p w14:paraId="1788AA08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S - specializovaná</w:t>
      </w:r>
      <w:proofErr w:type="gramEnd"/>
      <w:r w:rsidRPr="00970A1B">
        <w:rPr>
          <w:i/>
        </w:rPr>
        <w:t xml:space="preserve"> veřejná databáze; </w:t>
      </w:r>
    </w:p>
    <w:p w14:paraId="70EFA72E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W - uspořádání</w:t>
      </w:r>
      <w:proofErr w:type="gramEnd"/>
      <w:r w:rsidRPr="00970A1B">
        <w:rPr>
          <w:i/>
        </w:rPr>
        <w:t xml:space="preserve"> workshopu; </w:t>
      </w:r>
    </w:p>
    <w:p w14:paraId="34ED8B58" w14:textId="77777777" w:rsidR="00BB35D3" w:rsidRPr="00970A1B" w:rsidRDefault="00BB35D3" w:rsidP="003D4328">
      <w:pPr>
        <w:spacing w:after="0" w:line="240" w:lineRule="auto"/>
        <w:rPr>
          <w:i/>
        </w:rPr>
      </w:pPr>
      <w:proofErr w:type="gramStart"/>
      <w:r w:rsidRPr="00970A1B">
        <w:rPr>
          <w:i/>
        </w:rPr>
        <w:t>O - ostatní</w:t>
      </w:r>
      <w:proofErr w:type="gramEnd"/>
      <w:r w:rsidRPr="00970A1B">
        <w:rPr>
          <w:i/>
        </w:rPr>
        <w:t xml:space="preserve"> výsledky.</w:t>
      </w:r>
    </w:p>
    <w:p w14:paraId="18077DB9" w14:textId="77777777" w:rsidR="004D1883" w:rsidRPr="00970A1B" w:rsidRDefault="004D1883" w:rsidP="003D4328">
      <w:pPr>
        <w:spacing w:after="0" w:line="240" w:lineRule="auto"/>
      </w:pPr>
    </w:p>
    <w:p w14:paraId="726ED202" w14:textId="77777777" w:rsidR="00BB35D3" w:rsidRPr="003D4328" w:rsidRDefault="00BB35D3" w:rsidP="003D4328">
      <w:pPr>
        <w:spacing w:after="0" w:line="240" w:lineRule="auto"/>
      </w:pPr>
      <w:r w:rsidRPr="003D4328">
        <w:rPr>
          <w:b/>
        </w:rPr>
        <w:t>Otevřený přístup:</w:t>
      </w:r>
      <w:r w:rsidRPr="003D4328">
        <w:t xml:space="preserve"> </w:t>
      </w:r>
    </w:p>
    <w:p w14:paraId="207B9296" w14:textId="77777777" w:rsidR="00BB35D3" w:rsidRPr="003D4328" w:rsidRDefault="00BB35D3" w:rsidP="004D1883">
      <w:pPr>
        <w:spacing w:after="0" w:line="240" w:lineRule="auto"/>
        <w:jc w:val="both"/>
      </w:pPr>
      <w:r w:rsidRPr="003D4328">
        <w:t xml:space="preserve">Uchazeči jsou povinni v této veřejné soutěži zajistit otevřený přístup „open </w:t>
      </w:r>
      <w:proofErr w:type="spellStart"/>
      <w:r w:rsidRPr="003D4328">
        <w:t>access</w:t>
      </w:r>
      <w:proofErr w:type="spellEnd"/>
      <w:r w:rsidRPr="003D4328">
        <w:t>” k druhům výstupů/výsledků označeným hvězdičkou (*) a k souvisejícím výzkumným datům. V případě výsledků jiných druhů, u kterých je zpřístupnění technicky snadné (článek ve sborníku, kapitola v odborné knize apod.), je zpřístupnění obzvlášť vítané a doporučované</w:t>
      </w:r>
      <w:r w:rsidR="00805A10">
        <w:t>.</w:t>
      </w:r>
    </w:p>
    <w:p w14:paraId="3FB341B5" w14:textId="77777777" w:rsidR="00BB35D3" w:rsidRPr="00970A1B" w:rsidRDefault="00BB35D3" w:rsidP="003D4328">
      <w:pPr>
        <w:spacing w:after="0" w:line="240" w:lineRule="auto"/>
        <w:rPr>
          <w:b/>
          <w:color w:val="1F4E79" w:themeColor="accent1" w:themeShade="80"/>
          <w:sz w:val="28"/>
          <w:szCs w:val="28"/>
          <w:highlight w:val="yellow"/>
        </w:rPr>
      </w:pPr>
    </w:p>
    <w:p w14:paraId="5AECA5F4" w14:textId="77777777" w:rsidR="00BB35D3" w:rsidRPr="003D4328" w:rsidRDefault="00BB35D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3D4328">
        <w:rPr>
          <w:b/>
          <w:color w:val="1F4E79" w:themeColor="accent1" w:themeShade="80"/>
          <w:sz w:val="28"/>
          <w:szCs w:val="28"/>
        </w:rPr>
        <w:t>Podání návrhu projektu:</w:t>
      </w:r>
    </w:p>
    <w:p w14:paraId="43A75C61" w14:textId="77777777" w:rsidR="003D709A" w:rsidRPr="003D4328" w:rsidRDefault="003D709A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068FCDCF" w14:textId="77777777" w:rsidR="00BB35D3" w:rsidRPr="003D4328" w:rsidRDefault="00BB35D3" w:rsidP="003D4328">
      <w:pPr>
        <w:spacing w:after="0" w:line="240" w:lineRule="auto"/>
      </w:pPr>
      <w:r w:rsidRPr="003D4328">
        <w:t xml:space="preserve">Návrh projektu musí být do veřejné soutěže podán v elektronické podobě prostřednictvím ISTA. </w:t>
      </w:r>
    </w:p>
    <w:p w14:paraId="55D72623" w14:textId="77777777" w:rsidR="00BB35D3" w:rsidRPr="003D4328" w:rsidRDefault="00BB35D3" w:rsidP="003D4328">
      <w:pPr>
        <w:spacing w:after="0" w:line="240" w:lineRule="auto"/>
      </w:pPr>
      <w:r w:rsidRPr="003D4328">
        <w:t xml:space="preserve">Po podání návrhu projektu prostřednictvím ISTA vlastník návrhu projektu vygeneruje dokument </w:t>
      </w:r>
      <w:r w:rsidRPr="003D4328">
        <w:rPr>
          <w:b/>
        </w:rPr>
        <w:t>„Potvrzení podání elektronického návrhu projektu do ISTA”</w:t>
      </w:r>
      <w:r w:rsidRPr="003D4328">
        <w:t xml:space="preserve">. Potvrzení podání elektronického návrhu projektu do ISTA: </w:t>
      </w:r>
    </w:p>
    <w:p w14:paraId="39DEDF70" w14:textId="77777777" w:rsidR="003D4328" w:rsidRPr="003D4328" w:rsidRDefault="00BB35D3" w:rsidP="00115926">
      <w:pPr>
        <w:pStyle w:val="Odstavecseseznamem"/>
        <w:numPr>
          <w:ilvl w:val="0"/>
          <w:numId w:val="40"/>
        </w:numPr>
        <w:spacing w:after="0" w:line="240" w:lineRule="auto"/>
      </w:pPr>
      <w:r w:rsidRPr="003D4328">
        <w:t xml:space="preserve">musí být odesláno z datové schránky hlavního uchazeče do datové schránky TA ČR (ID datové schránky: afth9xp); </w:t>
      </w:r>
    </w:p>
    <w:p w14:paraId="362E938B" w14:textId="77777777" w:rsidR="003D709A" w:rsidRPr="00805A10" w:rsidRDefault="003D4328" w:rsidP="00115926">
      <w:pPr>
        <w:pStyle w:val="Odstavecseseznamem"/>
        <w:numPr>
          <w:ilvl w:val="0"/>
          <w:numId w:val="40"/>
        </w:numPr>
        <w:spacing w:after="0" w:line="240" w:lineRule="auto"/>
        <w:rPr>
          <w:b/>
        </w:rPr>
      </w:pPr>
      <w:r w:rsidRPr="003D4328">
        <w:t xml:space="preserve">v náležitostech zprávy uveďte </w:t>
      </w:r>
      <w:r w:rsidR="00805A10" w:rsidRPr="00805A10">
        <w:rPr>
          <w:b/>
        </w:rPr>
        <w:t xml:space="preserve">„7. veřejná soutěž programu </w:t>
      </w:r>
      <w:proofErr w:type="gramStart"/>
      <w:r w:rsidR="00805A10" w:rsidRPr="00805A10">
        <w:rPr>
          <w:b/>
        </w:rPr>
        <w:t>SIGMA - DC2</w:t>
      </w:r>
      <w:proofErr w:type="gramEnd"/>
      <w:r w:rsidR="00805A10" w:rsidRPr="00805A10">
        <w:rPr>
          <w:b/>
        </w:rPr>
        <w:t xml:space="preserve"> – P</w:t>
      </w:r>
      <w:r w:rsidR="00805A10">
        <w:rPr>
          <w:b/>
        </w:rPr>
        <w:t>otvrzení podání.“</w:t>
      </w:r>
    </w:p>
    <w:p w14:paraId="33DF1CC1" w14:textId="77777777" w:rsidR="003D4328" w:rsidRPr="003D4328" w:rsidRDefault="003D4328" w:rsidP="003D4328">
      <w:pPr>
        <w:spacing w:after="0" w:line="240" w:lineRule="auto"/>
        <w:rPr>
          <w:i/>
          <w:u w:val="single"/>
        </w:rPr>
      </w:pPr>
    </w:p>
    <w:p w14:paraId="115EE91D" w14:textId="77777777" w:rsidR="00894BEB" w:rsidRPr="004D1883" w:rsidRDefault="00894BEB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4D1883">
        <w:rPr>
          <w:b/>
          <w:color w:val="1F4E79" w:themeColor="accent1" w:themeShade="80"/>
          <w:sz w:val="28"/>
          <w:szCs w:val="28"/>
        </w:rPr>
        <w:t>Požadavky na způsobilost:</w:t>
      </w:r>
    </w:p>
    <w:p w14:paraId="0121BE94" w14:textId="77777777" w:rsidR="003D709A" w:rsidRPr="004D1883" w:rsidRDefault="003D709A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0698DA5C" w14:textId="77777777" w:rsidR="004540B9" w:rsidRPr="004D1883" w:rsidRDefault="004540B9" w:rsidP="003D4328">
      <w:pPr>
        <w:spacing w:after="0" w:line="240" w:lineRule="auto"/>
        <w:rPr>
          <w:b/>
        </w:rPr>
      </w:pPr>
      <w:r w:rsidRPr="004D1883">
        <w:rPr>
          <w:b/>
        </w:rPr>
        <w:t>Požadavky na způsobilost:</w:t>
      </w:r>
    </w:p>
    <w:p w14:paraId="30FD9D71" w14:textId="77777777" w:rsidR="004540B9" w:rsidRPr="004D1883" w:rsidRDefault="004540B9" w:rsidP="003D4328">
      <w:pPr>
        <w:spacing w:after="0" w:line="240" w:lineRule="auto"/>
        <w:jc w:val="both"/>
        <w:rPr>
          <w:b/>
        </w:rPr>
      </w:pPr>
      <w:r w:rsidRPr="004D1883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4D1883">
        <w:t>Všichni uchazeči musí zaslat ČP o prokázání způsobilosti uchazeče ze své datové schránky a v kolonce Věc musí být uvedeno:</w:t>
      </w:r>
      <w:r w:rsidRPr="004D1883">
        <w:rPr>
          <w:b/>
        </w:rPr>
        <w:t xml:space="preserve"> </w:t>
      </w:r>
      <w:r w:rsidR="00805A10" w:rsidRPr="00805A10">
        <w:rPr>
          <w:b/>
        </w:rPr>
        <w:t xml:space="preserve">„7. veřejná soutěž programu </w:t>
      </w:r>
      <w:proofErr w:type="gramStart"/>
      <w:r w:rsidR="00805A10" w:rsidRPr="00805A10">
        <w:rPr>
          <w:b/>
        </w:rPr>
        <w:t>SIGMA - DC2</w:t>
      </w:r>
      <w:proofErr w:type="gramEnd"/>
      <w:r w:rsidR="00805A10" w:rsidRPr="00805A10">
        <w:rPr>
          <w:b/>
        </w:rPr>
        <w:t xml:space="preserve"> – Prokázání způsobilosti“. </w:t>
      </w:r>
      <w:r w:rsidRPr="004D1883">
        <w:t>Zahraniční uchazeči</w:t>
      </w:r>
      <w:r w:rsidR="000036D5" w:rsidRPr="004D1883">
        <w:t xml:space="preserve"> nebo ti, kteří nemají datovou schránku</w:t>
      </w:r>
      <w:r w:rsidRPr="004D1883">
        <w:t xml:space="preserve"> zašlou doklady prokazující způsobilost v listinné podobě.</w:t>
      </w:r>
      <w:r w:rsidRPr="004D1883">
        <w:rPr>
          <w:b/>
        </w:rPr>
        <w:t xml:space="preserve"> </w:t>
      </w:r>
    </w:p>
    <w:p w14:paraId="0C8DC8DC" w14:textId="77777777" w:rsidR="003D709A" w:rsidRPr="004D1883" w:rsidRDefault="003D709A" w:rsidP="003D4328">
      <w:pPr>
        <w:spacing w:after="0" w:line="240" w:lineRule="auto"/>
        <w:jc w:val="both"/>
        <w:rPr>
          <w:b/>
        </w:rPr>
      </w:pPr>
    </w:p>
    <w:p w14:paraId="365F5B14" w14:textId="77777777" w:rsidR="00894BEB" w:rsidRPr="004D1883" w:rsidRDefault="004540B9" w:rsidP="003D4328">
      <w:pPr>
        <w:spacing w:after="0" w:line="240" w:lineRule="auto"/>
        <w:jc w:val="both"/>
        <w:rPr>
          <w:b/>
        </w:rPr>
      </w:pPr>
      <w:r w:rsidRPr="004D1883">
        <w:rPr>
          <w:b/>
        </w:rPr>
        <w:t>VUT splňuje povinnost zveřejnit účetní závěrku tím, že vydává výroční zprávu o hospodaření.</w:t>
      </w:r>
    </w:p>
    <w:p w14:paraId="0335E47A" w14:textId="77777777" w:rsidR="003D709A" w:rsidRPr="004D1883" w:rsidRDefault="003D709A" w:rsidP="003D4328">
      <w:pPr>
        <w:spacing w:after="0" w:line="240" w:lineRule="auto"/>
        <w:jc w:val="both"/>
        <w:rPr>
          <w:b/>
        </w:rPr>
      </w:pPr>
    </w:p>
    <w:p w14:paraId="458ABBCA" w14:textId="77777777" w:rsidR="00126231" w:rsidRPr="00805A10" w:rsidRDefault="00AA343B" w:rsidP="00805A10">
      <w:pPr>
        <w:spacing w:after="0" w:line="240" w:lineRule="auto"/>
        <w:jc w:val="both"/>
        <w:rPr>
          <w:b/>
        </w:rPr>
      </w:pPr>
      <w:r w:rsidRPr="004D1883">
        <w:rPr>
          <w:b/>
        </w:rPr>
        <w:t xml:space="preserve">Uchazeči musí být zapsaní v evidenci skutečných majitelů. </w:t>
      </w:r>
    </w:p>
    <w:p w14:paraId="76531950" w14:textId="77777777" w:rsidR="002D61B3" w:rsidRDefault="002D61B3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</w:p>
    <w:p w14:paraId="6CFEF63D" w14:textId="77777777" w:rsidR="00287745" w:rsidRPr="00CD2C4A" w:rsidRDefault="003206E0" w:rsidP="003D4328">
      <w:pPr>
        <w:spacing w:after="0" w:line="240" w:lineRule="auto"/>
        <w:rPr>
          <w:b/>
          <w:color w:val="1F4E79" w:themeColor="accent1" w:themeShade="80"/>
          <w:sz w:val="28"/>
          <w:szCs w:val="28"/>
        </w:rPr>
      </w:pPr>
      <w:r w:rsidRPr="00CD2C4A">
        <w:rPr>
          <w:b/>
          <w:color w:val="1F4E79" w:themeColor="accent1" w:themeShade="80"/>
          <w:sz w:val="28"/>
          <w:szCs w:val="28"/>
        </w:rPr>
        <w:lastRenderedPageBreak/>
        <w:t>Povinné přílohy:</w:t>
      </w:r>
    </w:p>
    <w:p w14:paraId="0C397CD2" w14:textId="77777777" w:rsidR="003D709A" w:rsidRPr="00970A1B" w:rsidRDefault="003D709A" w:rsidP="003D4328">
      <w:pPr>
        <w:spacing w:after="0" w:line="240" w:lineRule="auto"/>
        <w:rPr>
          <w:b/>
          <w:color w:val="1F4E79" w:themeColor="accent1" w:themeShade="80"/>
          <w:sz w:val="28"/>
          <w:szCs w:val="28"/>
          <w:highlight w:val="yellow"/>
        </w:rPr>
      </w:pPr>
    </w:p>
    <w:p w14:paraId="1476451B" w14:textId="77777777" w:rsidR="00115926" w:rsidRPr="008F06E5" w:rsidRDefault="009754C2" w:rsidP="00115926">
      <w:pPr>
        <w:spacing w:after="0" w:line="240" w:lineRule="auto"/>
        <w:rPr>
          <w:b/>
          <w:szCs w:val="28"/>
          <w:u w:val="single"/>
        </w:rPr>
      </w:pPr>
      <w:r w:rsidRPr="008F06E5">
        <w:rPr>
          <w:b/>
          <w:szCs w:val="28"/>
          <w:u w:val="single"/>
        </w:rPr>
        <w:t>Prostřednictvím datové schránky:</w:t>
      </w:r>
    </w:p>
    <w:p w14:paraId="1845D4DC" w14:textId="77777777" w:rsidR="00115926" w:rsidRPr="008F06E5" w:rsidRDefault="00BB35D3" w:rsidP="00115926">
      <w:pPr>
        <w:pStyle w:val="Odstavecseseznamem"/>
        <w:numPr>
          <w:ilvl w:val="0"/>
          <w:numId w:val="41"/>
        </w:numPr>
        <w:spacing w:after="0" w:line="240" w:lineRule="auto"/>
        <w:rPr>
          <w:b/>
          <w:szCs w:val="28"/>
          <w:u w:val="single"/>
        </w:rPr>
      </w:pPr>
      <w:r w:rsidRPr="008F06E5">
        <w:rPr>
          <w:b/>
        </w:rPr>
        <w:t xml:space="preserve">Čestné prohlášení za uchazeče </w:t>
      </w:r>
      <w:r w:rsidR="009754C2" w:rsidRPr="008F06E5">
        <w:rPr>
          <w:b/>
        </w:rPr>
        <w:t xml:space="preserve">– </w:t>
      </w:r>
      <w:r w:rsidR="009754C2" w:rsidRPr="008F06E5">
        <w:t>hlavní uchazeč i další účastníci</w:t>
      </w:r>
    </w:p>
    <w:p w14:paraId="4A03AA4D" w14:textId="77777777" w:rsidR="009754C2" w:rsidRPr="008F06E5" w:rsidRDefault="00BB35D3" w:rsidP="00115926">
      <w:pPr>
        <w:pStyle w:val="Odstavecseseznamem"/>
        <w:numPr>
          <w:ilvl w:val="0"/>
          <w:numId w:val="41"/>
        </w:numPr>
        <w:spacing w:after="0" w:line="240" w:lineRule="auto"/>
        <w:rPr>
          <w:b/>
          <w:szCs w:val="28"/>
          <w:u w:val="single"/>
        </w:rPr>
      </w:pPr>
      <w:r w:rsidRPr="008F06E5">
        <w:rPr>
          <w:b/>
        </w:rPr>
        <w:t>Potvrzení podání elektronického návrhu do ISTA</w:t>
      </w:r>
    </w:p>
    <w:p w14:paraId="09A93686" w14:textId="77777777" w:rsidR="009754C2" w:rsidRPr="00970A1B" w:rsidRDefault="009754C2" w:rsidP="003D4328">
      <w:pPr>
        <w:spacing w:after="0" w:line="240" w:lineRule="auto"/>
        <w:rPr>
          <w:b/>
          <w:highlight w:val="yellow"/>
        </w:rPr>
      </w:pPr>
    </w:p>
    <w:p w14:paraId="3B9D7165" w14:textId="77777777" w:rsidR="009754C2" w:rsidRPr="00CD2C4A" w:rsidRDefault="009754C2" w:rsidP="003D4328">
      <w:pPr>
        <w:spacing w:after="0" w:line="240" w:lineRule="auto"/>
        <w:rPr>
          <w:b/>
          <w:u w:val="single"/>
        </w:rPr>
      </w:pPr>
      <w:r w:rsidRPr="00CD2C4A">
        <w:rPr>
          <w:b/>
          <w:u w:val="single"/>
        </w:rPr>
        <w:t xml:space="preserve">Prostřednictvím </w:t>
      </w:r>
      <w:r w:rsidR="002D61B3">
        <w:rPr>
          <w:b/>
          <w:u w:val="single"/>
        </w:rPr>
        <w:t>návrhu projektu v</w:t>
      </w:r>
      <w:r w:rsidRPr="00CD2C4A">
        <w:rPr>
          <w:b/>
          <w:u w:val="single"/>
        </w:rPr>
        <w:t xml:space="preserve"> ISTA:</w:t>
      </w:r>
    </w:p>
    <w:p w14:paraId="22140ACE" w14:textId="77777777" w:rsidR="00CD2C4A" w:rsidRPr="002D61B3" w:rsidRDefault="00CD2C4A" w:rsidP="00CD2C4A">
      <w:pPr>
        <w:pStyle w:val="Odstavecseseznamem"/>
        <w:numPr>
          <w:ilvl w:val="0"/>
          <w:numId w:val="42"/>
        </w:numPr>
        <w:spacing w:after="0" w:line="240" w:lineRule="auto"/>
        <w:rPr>
          <w:b/>
        </w:rPr>
      </w:pPr>
      <w:r w:rsidRPr="00CD2C4A">
        <w:rPr>
          <w:rFonts w:ascii="Calibri" w:hAnsi="Calibri" w:cs="Calibri"/>
          <w:b/>
          <w:color w:val="000000"/>
        </w:rPr>
        <w:t>V</w:t>
      </w:r>
      <w:r w:rsidR="009754C2" w:rsidRPr="00CD2C4A">
        <w:rPr>
          <w:rFonts w:ascii="Calibri" w:hAnsi="Calibri" w:cs="Calibri"/>
          <w:b/>
          <w:color w:val="000000"/>
        </w:rPr>
        <w:t> případě výsledků</w:t>
      </w:r>
      <w:r w:rsidRPr="00CD2C4A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CD2C4A">
        <w:rPr>
          <w:rFonts w:ascii="Calibri" w:hAnsi="Calibri" w:cs="Calibri"/>
          <w:b/>
          <w:color w:val="000000"/>
        </w:rPr>
        <w:t>NmetS</w:t>
      </w:r>
      <w:proofErr w:type="spellEnd"/>
      <w:r w:rsidRPr="00CD2C4A">
        <w:rPr>
          <w:rFonts w:ascii="Calibri" w:hAnsi="Calibri" w:cs="Calibri"/>
          <w:b/>
          <w:color w:val="000000"/>
        </w:rPr>
        <w:t xml:space="preserve">, </w:t>
      </w:r>
      <w:proofErr w:type="spellStart"/>
      <w:r w:rsidRPr="00CD2C4A">
        <w:rPr>
          <w:rFonts w:ascii="Calibri" w:hAnsi="Calibri" w:cs="Calibri"/>
          <w:b/>
          <w:color w:val="000000"/>
        </w:rPr>
        <w:t>NmetA</w:t>
      </w:r>
      <w:proofErr w:type="spellEnd"/>
      <w:r w:rsidRPr="00CD2C4A">
        <w:rPr>
          <w:rFonts w:ascii="Calibri" w:hAnsi="Calibri" w:cs="Calibri"/>
          <w:b/>
          <w:color w:val="000000"/>
        </w:rPr>
        <w:t xml:space="preserve">, </w:t>
      </w:r>
      <w:proofErr w:type="spellStart"/>
      <w:r w:rsidRPr="00CD2C4A">
        <w:rPr>
          <w:rFonts w:ascii="Calibri" w:hAnsi="Calibri" w:cs="Calibri"/>
          <w:b/>
          <w:color w:val="000000"/>
        </w:rPr>
        <w:t>NmetC</w:t>
      </w:r>
      <w:proofErr w:type="spellEnd"/>
      <w:r w:rsidRPr="00CD2C4A">
        <w:rPr>
          <w:rFonts w:ascii="Calibri" w:hAnsi="Calibri" w:cs="Calibri"/>
          <w:b/>
          <w:color w:val="000000"/>
        </w:rPr>
        <w:t xml:space="preserve"> – formulář pro druh výsledku </w:t>
      </w:r>
      <w:proofErr w:type="spellStart"/>
      <w:r w:rsidRPr="00CD2C4A">
        <w:rPr>
          <w:rFonts w:ascii="Calibri" w:hAnsi="Calibri" w:cs="Calibri"/>
          <w:b/>
          <w:color w:val="000000"/>
        </w:rPr>
        <w:t>Nmet</w:t>
      </w:r>
      <w:proofErr w:type="spellEnd"/>
    </w:p>
    <w:p w14:paraId="75EF55E0" w14:textId="77777777" w:rsidR="002D61B3" w:rsidRDefault="002D61B3" w:rsidP="00D8460D">
      <w:pPr>
        <w:pStyle w:val="Odstavecseseznamem"/>
        <w:numPr>
          <w:ilvl w:val="0"/>
          <w:numId w:val="42"/>
        </w:numPr>
        <w:spacing w:after="0" w:line="240" w:lineRule="auto"/>
        <w:rPr>
          <w:b/>
        </w:rPr>
      </w:pPr>
      <w:r w:rsidRPr="002D61B3">
        <w:rPr>
          <w:b/>
        </w:rPr>
        <w:t>Účetní závěrky za roky 2020, 2021, 2022</w:t>
      </w:r>
    </w:p>
    <w:p w14:paraId="79BE78CB" w14:textId="77777777" w:rsidR="002D61B3" w:rsidRDefault="002D61B3" w:rsidP="00D8460D">
      <w:pPr>
        <w:pStyle w:val="Odstavecseseznamem"/>
        <w:numPr>
          <w:ilvl w:val="0"/>
          <w:numId w:val="42"/>
        </w:numPr>
        <w:spacing w:after="0" w:line="240" w:lineRule="auto"/>
        <w:rPr>
          <w:b/>
        </w:rPr>
      </w:pPr>
      <w:r>
        <w:rPr>
          <w:b/>
        </w:rPr>
        <w:t>Vlastnická struktura za každého uchazeče</w:t>
      </w:r>
    </w:p>
    <w:p w14:paraId="1B2CFEDB" w14:textId="77777777" w:rsidR="002D61B3" w:rsidRPr="002D61B3" w:rsidRDefault="009754C2" w:rsidP="00D8460D">
      <w:pPr>
        <w:pStyle w:val="Odstavecseseznamem"/>
        <w:numPr>
          <w:ilvl w:val="0"/>
          <w:numId w:val="42"/>
        </w:numPr>
        <w:spacing w:after="0" w:line="240" w:lineRule="auto"/>
        <w:rPr>
          <w:b/>
        </w:rPr>
      </w:pPr>
      <w:r w:rsidRPr="002D61B3">
        <w:rPr>
          <w:b/>
        </w:rPr>
        <w:t xml:space="preserve">V případě účasti dalšího účastníka ze zahraniční </w:t>
      </w:r>
    </w:p>
    <w:p w14:paraId="2839DBD2" w14:textId="77777777" w:rsidR="002D61B3" w:rsidRPr="002D61B3" w:rsidRDefault="009754C2" w:rsidP="002D61B3">
      <w:pPr>
        <w:pStyle w:val="Odstavecseseznamem"/>
        <w:numPr>
          <w:ilvl w:val="0"/>
          <w:numId w:val="46"/>
        </w:numPr>
        <w:spacing w:after="0" w:line="240" w:lineRule="auto"/>
      </w:pPr>
      <w:r w:rsidRPr="002D61B3">
        <w:t>údaje o skutečném majiteli</w:t>
      </w:r>
    </w:p>
    <w:p w14:paraId="4EB2CCF9" w14:textId="77777777" w:rsidR="002D61B3" w:rsidRPr="002D61B3" w:rsidRDefault="002D61B3" w:rsidP="002D61B3">
      <w:pPr>
        <w:pStyle w:val="Odstavecseseznamem"/>
        <w:numPr>
          <w:ilvl w:val="0"/>
          <w:numId w:val="46"/>
        </w:numPr>
        <w:spacing w:after="0" w:line="240" w:lineRule="auto"/>
      </w:pPr>
      <w:r w:rsidRPr="002D61B3">
        <w:t>účetní závěrky za roky 2020, 2021, 2022</w:t>
      </w:r>
    </w:p>
    <w:p w14:paraId="3C6E4373" w14:textId="77777777" w:rsidR="009754C2" w:rsidRPr="002D61B3" w:rsidRDefault="0035516F" w:rsidP="002D61B3">
      <w:pPr>
        <w:pStyle w:val="Odstavecseseznamem"/>
        <w:numPr>
          <w:ilvl w:val="0"/>
          <w:numId w:val="46"/>
        </w:numPr>
        <w:spacing w:after="0" w:line="240" w:lineRule="auto"/>
        <w:rPr>
          <w:b/>
        </w:rPr>
      </w:pPr>
      <w:r w:rsidRPr="002D61B3">
        <w:rPr>
          <w:rFonts w:ascii="Calibri" w:hAnsi="Calibri" w:cs="Calibri"/>
          <w:color w:val="000000"/>
        </w:rPr>
        <w:t>č</w:t>
      </w:r>
      <w:r w:rsidR="009754C2" w:rsidRPr="002D61B3">
        <w:rPr>
          <w:rFonts w:ascii="Calibri" w:hAnsi="Calibri" w:cs="Calibri"/>
          <w:color w:val="000000"/>
        </w:rPr>
        <w:t>estné prohlášení, které bude obsahovat finanční položky potřebné k výpočtu podniku v obtížích za roky 201</w:t>
      </w:r>
      <w:r w:rsidR="004D1883" w:rsidRPr="002D61B3">
        <w:rPr>
          <w:rFonts w:ascii="Calibri" w:hAnsi="Calibri" w:cs="Calibri"/>
          <w:color w:val="000000"/>
        </w:rPr>
        <w:t>9</w:t>
      </w:r>
      <w:r w:rsidR="009754C2" w:rsidRPr="002D61B3">
        <w:rPr>
          <w:rFonts w:ascii="Calibri" w:hAnsi="Calibri" w:cs="Calibri"/>
          <w:color w:val="000000"/>
        </w:rPr>
        <w:t>, 20</w:t>
      </w:r>
      <w:r w:rsidR="004D1883" w:rsidRPr="002D61B3">
        <w:rPr>
          <w:rFonts w:ascii="Calibri" w:hAnsi="Calibri" w:cs="Calibri"/>
          <w:color w:val="000000"/>
        </w:rPr>
        <w:t>20</w:t>
      </w:r>
      <w:r w:rsidR="009754C2" w:rsidRPr="002D61B3">
        <w:rPr>
          <w:rFonts w:ascii="Calibri" w:hAnsi="Calibri" w:cs="Calibri"/>
          <w:color w:val="000000"/>
        </w:rPr>
        <w:t xml:space="preserve"> a 202</w:t>
      </w:r>
      <w:r w:rsidR="004D1883" w:rsidRPr="002D61B3">
        <w:rPr>
          <w:rFonts w:ascii="Calibri" w:hAnsi="Calibri" w:cs="Calibri"/>
          <w:color w:val="000000"/>
        </w:rPr>
        <w:t>1</w:t>
      </w:r>
      <w:r w:rsidR="009754C2" w:rsidRPr="002D61B3">
        <w:rPr>
          <w:rFonts w:ascii="Calibri" w:hAnsi="Calibri" w:cs="Calibri"/>
          <w:color w:val="000000"/>
        </w:rPr>
        <w:t xml:space="preserve"> </w:t>
      </w:r>
    </w:p>
    <w:p w14:paraId="6D1E6831" w14:textId="77777777" w:rsidR="00767B2D" w:rsidRPr="00970A1B" w:rsidRDefault="00767B2D" w:rsidP="003D4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yellow"/>
        </w:rPr>
      </w:pPr>
    </w:p>
    <w:p w14:paraId="429022B3" w14:textId="77777777" w:rsidR="009754C2" w:rsidRPr="003D4328" w:rsidRDefault="009754C2" w:rsidP="003D4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  <w:r w:rsidRPr="003D4328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Náležitosti, které uchazeči dokládají prostřednictvím ISTA: </w:t>
      </w:r>
    </w:p>
    <w:p w14:paraId="2E901375" w14:textId="77777777" w:rsidR="002D61B3" w:rsidRDefault="002D61B3" w:rsidP="002D61B3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>
        <w:t xml:space="preserve">odborné předpoklady k řešení projektu – vyplňují se u klíčových osob řešitelského týmu v části „Odborný životopis”. Každý hlavní uchazeč musí mít v návrhu projektu alespoň jednu osobu v roli řešitel a každý případný další účastník musí mít alespoň jednu osobu v roli další řešitel; </w:t>
      </w:r>
    </w:p>
    <w:p w14:paraId="68472E97" w14:textId="77777777" w:rsidR="002D61B3" w:rsidRDefault="002D61B3" w:rsidP="002D61B3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>
        <w:t xml:space="preserve">oprávnění k činnosti relevantní k plánovaným činnostem v návrhu projektu – do návrhu projektu se vkládá kopie (např. oprávnění k provádění biologického zkoušení, povolení výzkumu na lidských embryonálních kmenových buňkách); </w:t>
      </w:r>
    </w:p>
    <w:p w14:paraId="0DD354D0" w14:textId="77777777" w:rsidR="00563DF1" w:rsidRDefault="002D61B3" w:rsidP="002D61B3">
      <w:pPr>
        <w:pStyle w:val="Odstavecseseznamem"/>
        <w:numPr>
          <w:ilvl w:val="0"/>
          <w:numId w:val="46"/>
        </w:numPr>
        <w:spacing w:after="0" w:line="240" w:lineRule="auto"/>
        <w:jc w:val="both"/>
      </w:pPr>
      <w:r>
        <w:t xml:space="preserve">vlastnická struktura za každého uchazeče – každý uchazeč musí uvést všechny koncové fyzické osoby, které mají podíl minimálně 10 % (pokud z právní formy uchazeče vyplývá, že nemá vlastnickou strukturu, tato povinnost se na něj nevztahuje). </w:t>
      </w:r>
      <w:r w:rsidR="002613EA" w:rsidRPr="003D4328">
        <w:t xml:space="preserve">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8CFBDD"/>
    <w:multiLevelType w:val="hybridMultilevel"/>
    <w:tmpl w:val="E0B302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CB2645"/>
    <w:multiLevelType w:val="hybridMultilevel"/>
    <w:tmpl w:val="A03862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F3B66E"/>
    <w:multiLevelType w:val="hybridMultilevel"/>
    <w:tmpl w:val="BC8360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B0BE0"/>
    <w:multiLevelType w:val="hybridMultilevel"/>
    <w:tmpl w:val="62163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35191"/>
    <w:multiLevelType w:val="multilevel"/>
    <w:tmpl w:val="E30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09D0"/>
    <w:multiLevelType w:val="hybridMultilevel"/>
    <w:tmpl w:val="515CB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0B5DB4"/>
    <w:multiLevelType w:val="hybridMultilevel"/>
    <w:tmpl w:val="8D8CC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C64E9"/>
    <w:multiLevelType w:val="hybridMultilevel"/>
    <w:tmpl w:val="204C5A2C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B6438"/>
    <w:multiLevelType w:val="hybridMultilevel"/>
    <w:tmpl w:val="67C2F9AA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B601C7"/>
    <w:multiLevelType w:val="hybridMultilevel"/>
    <w:tmpl w:val="AB30F5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583A"/>
    <w:multiLevelType w:val="hybridMultilevel"/>
    <w:tmpl w:val="C890CA24"/>
    <w:lvl w:ilvl="0" w:tplc="5B46F0A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27163374"/>
    <w:multiLevelType w:val="hybridMultilevel"/>
    <w:tmpl w:val="3E467D78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065DE"/>
    <w:multiLevelType w:val="hybridMultilevel"/>
    <w:tmpl w:val="E664293C"/>
    <w:lvl w:ilvl="0" w:tplc="5B46F0A6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790E"/>
    <w:multiLevelType w:val="hybridMultilevel"/>
    <w:tmpl w:val="E7FEAFAA"/>
    <w:lvl w:ilvl="0" w:tplc="1E669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A76C1"/>
    <w:multiLevelType w:val="hybridMultilevel"/>
    <w:tmpl w:val="445C0E68"/>
    <w:lvl w:ilvl="0" w:tplc="5B46F0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B6EE6"/>
    <w:multiLevelType w:val="hybridMultilevel"/>
    <w:tmpl w:val="9D16F7AA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F0F49"/>
    <w:multiLevelType w:val="hybridMultilevel"/>
    <w:tmpl w:val="C48A8C12"/>
    <w:lvl w:ilvl="0" w:tplc="1E669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570E5"/>
    <w:multiLevelType w:val="hybridMultilevel"/>
    <w:tmpl w:val="C41271EE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283AB2"/>
    <w:multiLevelType w:val="hybridMultilevel"/>
    <w:tmpl w:val="075211F6"/>
    <w:lvl w:ilvl="0" w:tplc="5B46F0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E285591"/>
    <w:multiLevelType w:val="hybridMultilevel"/>
    <w:tmpl w:val="B0A2C10E"/>
    <w:lvl w:ilvl="0" w:tplc="EFD2C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7376DC"/>
    <w:multiLevelType w:val="hybridMultilevel"/>
    <w:tmpl w:val="09429222"/>
    <w:lvl w:ilvl="0" w:tplc="EFD2C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75BAF"/>
    <w:multiLevelType w:val="hybridMultilevel"/>
    <w:tmpl w:val="3B50DB4E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3166CC"/>
    <w:multiLevelType w:val="hybridMultilevel"/>
    <w:tmpl w:val="BA6EB542"/>
    <w:lvl w:ilvl="0" w:tplc="EFD2CA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703C81"/>
    <w:multiLevelType w:val="hybridMultilevel"/>
    <w:tmpl w:val="D1564F8E"/>
    <w:lvl w:ilvl="0" w:tplc="EFD2CAAE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04B6D01"/>
    <w:multiLevelType w:val="hybridMultilevel"/>
    <w:tmpl w:val="24484444"/>
    <w:lvl w:ilvl="0" w:tplc="EFD2C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C1A50"/>
    <w:multiLevelType w:val="hybridMultilevel"/>
    <w:tmpl w:val="C6D0C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47CE5"/>
    <w:multiLevelType w:val="hybridMultilevel"/>
    <w:tmpl w:val="8BF80F74"/>
    <w:lvl w:ilvl="0" w:tplc="4BE2B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83D50"/>
    <w:multiLevelType w:val="hybridMultilevel"/>
    <w:tmpl w:val="0E3A2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211EA"/>
    <w:multiLevelType w:val="hybridMultilevel"/>
    <w:tmpl w:val="F37C9D18"/>
    <w:lvl w:ilvl="0" w:tplc="EFD2C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129A6"/>
    <w:multiLevelType w:val="hybridMultilevel"/>
    <w:tmpl w:val="0B448306"/>
    <w:lvl w:ilvl="0" w:tplc="5B46F0A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4046C"/>
    <w:multiLevelType w:val="hybridMultilevel"/>
    <w:tmpl w:val="08B8E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4594D"/>
    <w:multiLevelType w:val="hybridMultilevel"/>
    <w:tmpl w:val="F9B64582"/>
    <w:lvl w:ilvl="0" w:tplc="2F82F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7"/>
  </w:num>
  <w:num w:numId="4">
    <w:abstractNumId w:val="14"/>
  </w:num>
  <w:num w:numId="5">
    <w:abstractNumId w:val="24"/>
  </w:num>
  <w:num w:numId="6">
    <w:abstractNumId w:val="19"/>
  </w:num>
  <w:num w:numId="7">
    <w:abstractNumId w:val="41"/>
  </w:num>
  <w:num w:numId="8">
    <w:abstractNumId w:val="4"/>
  </w:num>
  <w:num w:numId="9">
    <w:abstractNumId w:val="13"/>
  </w:num>
  <w:num w:numId="10">
    <w:abstractNumId w:val="22"/>
  </w:num>
  <w:num w:numId="11">
    <w:abstractNumId w:val="6"/>
  </w:num>
  <w:num w:numId="12">
    <w:abstractNumId w:val="36"/>
  </w:num>
  <w:num w:numId="13">
    <w:abstractNumId w:val="31"/>
  </w:num>
  <w:num w:numId="14">
    <w:abstractNumId w:val="7"/>
  </w:num>
  <w:num w:numId="15">
    <w:abstractNumId w:val="45"/>
  </w:num>
  <w:num w:numId="16">
    <w:abstractNumId w:val="1"/>
  </w:num>
  <w:num w:numId="17">
    <w:abstractNumId w:val="39"/>
  </w:num>
  <w:num w:numId="18">
    <w:abstractNumId w:val="29"/>
  </w:num>
  <w:num w:numId="19">
    <w:abstractNumId w:val="0"/>
  </w:num>
  <w:num w:numId="20">
    <w:abstractNumId w:val="2"/>
  </w:num>
  <w:num w:numId="21">
    <w:abstractNumId w:val="9"/>
  </w:num>
  <w:num w:numId="22">
    <w:abstractNumId w:val="44"/>
  </w:num>
  <w:num w:numId="23">
    <w:abstractNumId w:val="25"/>
  </w:num>
  <w:num w:numId="24">
    <w:abstractNumId w:val="20"/>
  </w:num>
  <w:num w:numId="25">
    <w:abstractNumId w:val="5"/>
  </w:num>
  <w:num w:numId="26">
    <w:abstractNumId w:val="3"/>
  </w:num>
  <w:num w:numId="27">
    <w:abstractNumId w:val="28"/>
  </w:num>
  <w:num w:numId="28">
    <w:abstractNumId w:val="35"/>
  </w:num>
  <w:num w:numId="29">
    <w:abstractNumId w:val="18"/>
  </w:num>
  <w:num w:numId="30">
    <w:abstractNumId w:val="33"/>
  </w:num>
  <w:num w:numId="31">
    <w:abstractNumId w:val="21"/>
  </w:num>
  <w:num w:numId="32">
    <w:abstractNumId w:val="12"/>
  </w:num>
  <w:num w:numId="33">
    <w:abstractNumId w:val="8"/>
  </w:num>
  <w:num w:numId="34">
    <w:abstractNumId w:val="27"/>
  </w:num>
  <w:num w:numId="35">
    <w:abstractNumId w:val="16"/>
  </w:num>
  <w:num w:numId="36">
    <w:abstractNumId w:val="10"/>
  </w:num>
  <w:num w:numId="37">
    <w:abstractNumId w:val="42"/>
  </w:num>
  <w:num w:numId="38">
    <w:abstractNumId w:val="26"/>
  </w:num>
  <w:num w:numId="39">
    <w:abstractNumId w:val="32"/>
  </w:num>
  <w:num w:numId="40">
    <w:abstractNumId w:val="11"/>
  </w:num>
  <w:num w:numId="41">
    <w:abstractNumId w:val="43"/>
  </w:num>
  <w:num w:numId="42">
    <w:abstractNumId w:val="15"/>
  </w:num>
  <w:num w:numId="43">
    <w:abstractNumId w:val="23"/>
  </w:num>
  <w:num w:numId="44">
    <w:abstractNumId w:val="38"/>
  </w:num>
  <w:num w:numId="45">
    <w:abstractNumId w:val="4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3575"/>
    <w:rsid w:val="000036D5"/>
    <w:rsid w:val="000059FC"/>
    <w:rsid w:val="00005F8C"/>
    <w:rsid w:val="00006642"/>
    <w:rsid w:val="00021700"/>
    <w:rsid w:val="00023C3F"/>
    <w:rsid w:val="0003137D"/>
    <w:rsid w:val="00097675"/>
    <w:rsid w:val="000A3AC2"/>
    <w:rsid w:val="000C6166"/>
    <w:rsid w:val="000D25EF"/>
    <w:rsid w:val="00103A81"/>
    <w:rsid w:val="0011585E"/>
    <w:rsid w:val="00115926"/>
    <w:rsid w:val="00126231"/>
    <w:rsid w:val="00144FEB"/>
    <w:rsid w:val="0017399A"/>
    <w:rsid w:val="001923C1"/>
    <w:rsid w:val="001B39D0"/>
    <w:rsid w:val="001B6ECD"/>
    <w:rsid w:val="001C02BC"/>
    <w:rsid w:val="001F1840"/>
    <w:rsid w:val="001F5E85"/>
    <w:rsid w:val="00224459"/>
    <w:rsid w:val="0023715B"/>
    <w:rsid w:val="002613EA"/>
    <w:rsid w:val="00275400"/>
    <w:rsid w:val="00287745"/>
    <w:rsid w:val="00294A46"/>
    <w:rsid w:val="002B225D"/>
    <w:rsid w:val="002C5B89"/>
    <w:rsid w:val="002D61B3"/>
    <w:rsid w:val="002E1ECA"/>
    <w:rsid w:val="002F21BE"/>
    <w:rsid w:val="002F5811"/>
    <w:rsid w:val="00307BC1"/>
    <w:rsid w:val="003206E0"/>
    <w:rsid w:val="00340F1D"/>
    <w:rsid w:val="0035516F"/>
    <w:rsid w:val="003D4328"/>
    <w:rsid w:val="003D709A"/>
    <w:rsid w:val="004129C7"/>
    <w:rsid w:val="00415969"/>
    <w:rsid w:val="0044320D"/>
    <w:rsid w:val="004540B9"/>
    <w:rsid w:val="004C6AED"/>
    <w:rsid w:val="004D1883"/>
    <w:rsid w:val="00525099"/>
    <w:rsid w:val="00531DCA"/>
    <w:rsid w:val="00557E9F"/>
    <w:rsid w:val="00563DF1"/>
    <w:rsid w:val="0057770F"/>
    <w:rsid w:val="005A37C6"/>
    <w:rsid w:val="005A485D"/>
    <w:rsid w:val="006037FE"/>
    <w:rsid w:val="00606286"/>
    <w:rsid w:val="00612B2F"/>
    <w:rsid w:val="00614A99"/>
    <w:rsid w:val="00647EBB"/>
    <w:rsid w:val="006B2816"/>
    <w:rsid w:val="006B5E9F"/>
    <w:rsid w:val="006E0536"/>
    <w:rsid w:val="0074217B"/>
    <w:rsid w:val="00767B2D"/>
    <w:rsid w:val="00774823"/>
    <w:rsid w:val="007C2781"/>
    <w:rsid w:val="007D2E24"/>
    <w:rsid w:val="0080292A"/>
    <w:rsid w:val="00805A10"/>
    <w:rsid w:val="0083332B"/>
    <w:rsid w:val="00850853"/>
    <w:rsid w:val="00894BEB"/>
    <w:rsid w:val="008B6889"/>
    <w:rsid w:val="008F06E5"/>
    <w:rsid w:val="009607BB"/>
    <w:rsid w:val="00970A1B"/>
    <w:rsid w:val="009754C2"/>
    <w:rsid w:val="0099735A"/>
    <w:rsid w:val="009D66C6"/>
    <w:rsid w:val="00A863FE"/>
    <w:rsid w:val="00A9566B"/>
    <w:rsid w:val="00AA343B"/>
    <w:rsid w:val="00AB60CA"/>
    <w:rsid w:val="00AF2878"/>
    <w:rsid w:val="00B54ADD"/>
    <w:rsid w:val="00B61AEF"/>
    <w:rsid w:val="00BB35D3"/>
    <w:rsid w:val="00BF0F25"/>
    <w:rsid w:val="00C10D9F"/>
    <w:rsid w:val="00C73306"/>
    <w:rsid w:val="00CA4F6F"/>
    <w:rsid w:val="00CC39C8"/>
    <w:rsid w:val="00CD2C4A"/>
    <w:rsid w:val="00CF1BA8"/>
    <w:rsid w:val="00D14577"/>
    <w:rsid w:val="00D66035"/>
    <w:rsid w:val="00D70187"/>
    <w:rsid w:val="00D704E8"/>
    <w:rsid w:val="00D73444"/>
    <w:rsid w:val="00DA0DE1"/>
    <w:rsid w:val="00E143FA"/>
    <w:rsid w:val="00E656CA"/>
    <w:rsid w:val="00E7062C"/>
    <w:rsid w:val="00E96464"/>
    <w:rsid w:val="00EB3EF0"/>
    <w:rsid w:val="00F148C0"/>
    <w:rsid w:val="00F30322"/>
    <w:rsid w:val="00F7228A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91EF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ova@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ondrouskova@vutb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ilcerova@vutbr.cz" TargetMode="External"/><Relationship Id="rId10" Type="http://schemas.openxmlformats.org/officeDocument/2006/relationships/hyperlink" Target="https://ista.tacr.cz/ISTA/action/Dashboard/ExternalNew/?actionId=5eopw2&amp;nbl=true&amp;uselastresult=true&amp;_browserSessionID=&amp;la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r.cz/soutez/program-sigma/sedma-verejna-soutez-dilci-cil-2-zacinajici-vyzkumnici-vyzkumni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2202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</cp:lastModifiedBy>
  <cp:revision>2</cp:revision>
  <dcterms:created xsi:type="dcterms:W3CDTF">2024-02-09T13:14:00Z</dcterms:created>
  <dcterms:modified xsi:type="dcterms:W3CDTF">2024-02-09T13:14:00Z</dcterms:modified>
</cp:coreProperties>
</file>