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9006" w14:textId="77777777" w:rsidR="00240BAB" w:rsidRDefault="00D34A55" w:rsidP="00240BAB">
      <w:pPr>
        <w:rPr>
          <w:rStyle w:val="subheading-category1"/>
          <w:b/>
          <w:caps w:val="0"/>
          <w:color w:val="0070C0"/>
          <w:sz w:val="36"/>
          <w:szCs w:val="36"/>
        </w:rPr>
      </w:pPr>
      <w:r>
        <w:rPr>
          <w:rStyle w:val="subheading-category1"/>
          <w:b/>
          <w:caps w:val="0"/>
          <w:color w:val="0070C0"/>
          <w:sz w:val="36"/>
          <w:szCs w:val="36"/>
        </w:rPr>
        <w:t>1</w:t>
      </w:r>
      <w:r w:rsidR="002F1541">
        <w:rPr>
          <w:rStyle w:val="subheading-category1"/>
          <w:b/>
          <w:caps w:val="0"/>
          <w:color w:val="0070C0"/>
          <w:sz w:val="36"/>
          <w:szCs w:val="36"/>
        </w:rPr>
        <w:t xml:space="preserve">. </w:t>
      </w:r>
      <w:r w:rsidR="00916256">
        <w:rPr>
          <w:rStyle w:val="subheading-category1"/>
          <w:b/>
          <w:caps w:val="0"/>
          <w:color w:val="0070C0"/>
          <w:sz w:val="36"/>
          <w:szCs w:val="36"/>
        </w:rPr>
        <w:t>v</w:t>
      </w:r>
      <w:r w:rsidR="002F1541">
        <w:rPr>
          <w:rStyle w:val="subheading-category1"/>
          <w:b/>
          <w:caps w:val="0"/>
          <w:color w:val="0070C0"/>
          <w:sz w:val="36"/>
          <w:szCs w:val="36"/>
        </w:rPr>
        <w:t>eřejná soutěž THÉTA</w:t>
      </w:r>
      <w:r>
        <w:rPr>
          <w:rStyle w:val="subheading-category1"/>
          <w:b/>
          <w:caps w:val="0"/>
          <w:color w:val="0070C0"/>
          <w:sz w:val="36"/>
          <w:szCs w:val="36"/>
        </w:rPr>
        <w:t xml:space="preserve"> 2</w:t>
      </w:r>
    </w:p>
    <w:p w14:paraId="7CAC2F43" w14:textId="77777777" w:rsidR="00D34A55" w:rsidRDefault="00D34A55" w:rsidP="0057770F"/>
    <w:p w14:paraId="749E0B8E" w14:textId="77777777" w:rsidR="0057770F" w:rsidRPr="008F2375" w:rsidRDefault="0057770F" w:rsidP="0057770F">
      <w:pPr>
        <w:rPr>
          <w:b/>
          <w:color w:val="1F4E79" w:themeColor="accent1" w:themeShade="80"/>
          <w:sz w:val="28"/>
          <w:szCs w:val="28"/>
        </w:rPr>
      </w:pPr>
      <w:r w:rsidRPr="008F2375">
        <w:rPr>
          <w:b/>
          <w:color w:val="1F4E79" w:themeColor="accent1" w:themeShade="80"/>
          <w:sz w:val="28"/>
          <w:szCs w:val="28"/>
        </w:rPr>
        <w:t>Důležité termíny:</w:t>
      </w:r>
    </w:p>
    <w:p w14:paraId="6E2E4E47" w14:textId="77777777" w:rsidR="007D1407" w:rsidRDefault="0057770F" w:rsidP="007C2781">
      <w:pPr>
        <w:spacing w:line="240" w:lineRule="auto"/>
        <w:rPr>
          <w:b/>
        </w:rPr>
      </w:pPr>
      <w:r>
        <w:t xml:space="preserve">Soutěžní lhůta začíná: </w:t>
      </w:r>
      <w:r w:rsidR="00D34A55">
        <w:rPr>
          <w:b/>
        </w:rPr>
        <w:t>14</w:t>
      </w:r>
      <w:r w:rsidR="007D1407">
        <w:rPr>
          <w:b/>
        </w:rPr>
        <w:t xml:space="preserve">. </w:t>
      </w:r>
      <w:r w:rsidR="00D34A55">
        <w:rPr>
          <w:b/>
        </w:rPr>
        <w:t>9</w:t>
      </w:r>
      <w:r w:rsidR="007D1407">
        <w:rPr>
          <w:b/>
        </w:rPr>
        <w:t>. 202</w:t>
      </w:r>
      <w:r w:rsidR="00D34A55">
        <w:rPr>
          <w:b/>
        </w:rPr>
        <w:t>3</w:t>
      </w:r>
    </w:p>
    <w:p w14:paraId="017DF833" w14:textId="77777777" w:rsidR="0057770F" w:rsidRDefault="0057770F" w:rsidP="007C2781">
      <w:pPr>
        <w:spacing w:line="240" w:lineRule="auto"/>
      </w:pPr>
      <w:r>
        <w:t xml:space="preserve">Soutěžní lhůta končí: </w:t>
      </w:r>
      <w:r w:rsidR="00D34A55">
        <w:rPr>
          <w:b/>
        </w:rPr>
        <w:t>27</w:t>
      </w:r>
      <w:r w:rsidR="007D1407">
        <w:rPr>
          <w:b/>
        </w:rPr>
        <w:t>.</w:t>
      </w:r>
      <w:r w:rsidR="00D34A55">
        <w:rPr>
          <w:b/>
        </w:rPr>
        <w:t xml:space="preserve"> 10.</w:t>
      </w:r>
      <w:r w:rsidR="007D1407">
        <w:rPr>
          <w:b/>
        </w:rPr>
        <w:t xml:space="preserve"> 202</w:t>
      </w:r>
      <w:r w:rsidR="00D34A55">
        <w:rPr>
          <w:b/>
        </w:rPr>
        <w:t>3</w:t>
      </w:r>
      <w:r w:rsidR="002F1541">
        <w:rPr>
          <w:b/>
        </w:rPr>
        <w:t xml:space="preserve"> v 16:29:59 hod.</w:t>
      </w:r>
      <w:r w:rsidR="00740BFC">
        <w:rPr>
          <w:b/>
        </w:rPr>
        <w:t xml:space="preserve"> pro finalizaci projektové žádosti</w:t>
      </w:r>
      <w:r>
        <w:t xml:space="preserve">; </w:t>
      </w:r>
    </w:p>
    <w:p w14:paraId="58A7807C" w14:textId="77777777" w:rsidR="0057770F" w:rsidRDefault="00740BFC" w:rsidP="00DB59BE">
      <w:pPr>
        <w:spacing w:line="240" w:lineRule="auto"/>
      </w:pPr>
      <w:r>
        <w:t>v </w:t>
      </w:r>
      <w:r w:rsidRPr="00740BFC">
        <w:rPr>
          <w:b/>
        </w:rPr>
        <w:t>23:59:59</w:t>
      </w:r>
      <w:r>
        <w:t xml:space="preserve"> končí lhůta pro prokázání způsobilosti a zaslání Potvrzení podání projektu a čestného prohlášení způsobilosti uchazeče. Pro zaslání potvrzení podání bude v datovém poli Věc uvedeno </w:t>
      </w:r>
      <w:r w:rsidR="00DB59BE">
        <w:t xml:space="preserve">        </w:t>
      </w:r>
      <w:proofErr w:type="gramStart"/>
      <w:r w:rsidR="00DB59BE">
        <w:t xml:space="preserve">   </w:t>
      </w:r>
      <w:r w:rsidR="007207CB">
        <w:t>„</w:t>
      </w:r>
      <w:proofErr w:type="gramEnd"/>
      <w:r w:rsidR="007207CB">
        <w:t xml:space="preserve">1. veřejná soutěž programu THÉTA 2 – Potvrzení </w:t>
      </w:r>
      <w:r w:rsidR="007207CB" w:rsidRPr="00DB59BE">
        <w:t>podání</w:t>
      </w:r>
      <w:r w:rsidRPr="00DB59BE">
        <w:t>“</w:t>
      </w:r>
      <w:r w:rsidR="007A363D" w:rsidRPr="00DB59BE">
        <w:t xml:space="preserve"> (ID</w:t>
      </w:r>
      <w:r w:rsidR="007A363D">
        <w:t xml:space="preserve"> datové schránky: afth9xp).</w:t>
      </w:r>
    </w:p>
    <w:p w14:paraId="2CF90B96" w14:textId="77777777" w:rsidR="00894BEB" w:rsidRDefault="00894BEB" w:rsidP="007C2781">
      <w:pPr>
        <w:spacing w:line="240" w:lineRule="auto"/>
        <w:rPr>
          <w:b/>
        </w:rPr>
      </w:pPr>
      <w:r w:rsidRPr="00894BEB">
        <w:t>Vyhlášení výsledků soutěže:</w:t>
      </w:r>
      <w:r>
        <w:rPr>
          <w:b/>
        </w:rPr>
        <w:t xml:space="preserve"> </w:t>
      </w:r>
      <w:r w:rsidR="00350D3D">
        <w:rPr>
          <w:b/>
        </w:rPr>
        <w:t>3</w:t>
      </w:r>
      <w:r w:rsidR="002F1541">
        <w:rPr>
          <w:b/>
        </w:rPr>
        <w:t>1</w:t>
      </w:r>
      <w:r w:rsidR="00350D3D">
        <w:rPr>
          <w:b/>
        </w:rPr>
        <w:t>.</w:t>
      </w:r>
      <w:r w:rsidR="00E11D70">
        <w:rPr>
          <w:b/>
        </w:rPr>
        <w:t xml:space="preserve"> </w:t>
      </w:r>
      <w:r w:rsidR="007D1407">
        <w:rPr>
          <w:b/>
        </w:rPr>
        <w:t>01</w:t>
      </w:r>
      <w:r w:rsidR="00350D3D">
        <w:rPr>
          <w:b/>
        </w:rPr>
        <w:t>.</w:t>
      </w:r>
      <w:r w:rsidR="00E11D70">
        <w:rPr>
          <w:b/>
        </w:rPr>
        <w:t xml:space="preserve"> </w:t>
      </w:r>
      <w:r w:rsidR="00350D3D">
        <w:rPr>
          <w:b/>
        </w:rPr>
        <w:t>202</w:t>
      </w:r>
      <w:r w:rsidR="002677A7">
        <w:rPr>
          <w:b/>
        </w:rPr>
        <w:t>4</w:t>
      </w:r>
    </w:p>
    <w:p w14:paraId="693E4611" w14:textId="77777777" w:rsidR="00894BEB" w:rsidRDefault="00894BEB" w:rsidP="007C2781">
      <w:pPr>
        <w:spacing w:line="240" w:lineRule="auto"/>
        <w:rPr>
          <w:b/>
        </w:rPr>
      </w:pPr>
      <w:r w:rsidRPr="00894BEB">
        <w:t>Zahájení řešení projektu:</w:t>
      </w:r>
      <w:r>
        <w:rPr>
          <w:b/>
        </w:rPr>
        <w:t xml:space="preserve"> 1. </w:t>
      </w:r>
      <w:r w:rsidR="00D34A55">
        <w:rPr>
          <w:b/>
        </w:rPr>
        <w:t>5</w:t>
      </w:r>
      <w:r w:rsidR="00F36C80">
        <w:rPr>
          <w:b/>
        </w:rPr>
        <w:t xml:space="preserve">. </w:t>
      </w:r>
      <w:r>
        <w:rPr>
          <w:b/>
        </w:rPr>
        <w:t>202</w:t>
      </w:r>
      <w:r w:rsidR="00D34A55">
        <w:rPr>
          <w:b/>
        </w:rPr>
        <w:t>4</w:t>
      </w:r>
      <w:r w:rsidR="00240BAB">
        <w:rPr>
          <w:b/>
        </w:rPr>
        <w:t xml:space="preserve"> – </w:t>
      </w:r>
      <w:r w:rsidR="007D1407">
        <w:rPr>
          <w:b/>
        </w:rPr>
        <w:t xml:space="preserve">1. </w:t>
      </w:r>
      <w:r w:rsidR="00D34A55">
        <w:rPr>
          <w:b/>
        </w:rPr>
        <w:t>7</w:t>
      </w:r>
      <w:r w:rsidR="007D1407">
        <w:rPr>
          <w:b/>
        </w:rPr>
        <w:t>. 202</w:t>
      </w:r>
      <w:r w:rsidR="00D34A55">
        <w:rPr>
          <w:b/>
        </w:rPr>
        <w:t>4</w:t>
      </w:r>
    </w:p>
    <w:p w14:paraId="1512EC72" w14:textId="77777777" w:rsidR="00240BAB" w:rsidRDefault="00CD1210" w:rsidP="00CD1210">
      <w:pPr>
        <w:spacing w:line="240" w:lineRule="auto"/>
        <w:rPr>
          <w:b/>
        </w:rPr>
      </w:pPr>
      <w:r w:rsidRPr="00894BEB">
        <w:t xml:space="preserve">Nejzazší termín ukončení řešení </w:t>
      </w:r>
      <w:r w:rsidRPr="00D34A55">
        <w:t>projektu:</w:t>
      </w:r>
      <w:r w:rsidRPr="00D34A55">
        <w:rPr>
          <w:b/>
        </w:rPr>
        <w:t xml:space="preserve"> </w:t>
      </w:r>
      <w:r w:rsidR="00EA3292" w:rsidRPr="00D34A55">
        <w:rPr>
          <w:b/>
        </w:rPr>
        <w:t>prosinec</w:t>
      </w:r>
      <w:r w:rsidR="00240BAB" w:rsidRPr="00D34A55">
        <w:rPr>
          <w:b/>
        </w:rPr>
        <w:t xml:space="preserve"> 20</w:t>
      </w:r>
      <w:r w:rsidR="00D34A55" w:rsidRPr="00D34A55">
        <w:rPr>
          <w:b/>
        </w:rPr>
        <w:t>31</w:t>
      </w:r>
    </w:p>
    <w:p w14:paraId="120584F8" w14:textId="77777777" w:rsidR="002F1541" w:rsidRDefault="00CD1210" w:rsidP="00CD1210">
      <w:pPr>
        <w:spacing w:line="240" w:lineRule="auto"/>
      </w:pPr>
      <w:r w:rsidRPr="00894BEB">
        <w:t>Délka řešení projektu:</w:t>
      </w:r>
      <w:r w:rsidR="007D1407">
        <w:t xml:space="preserve"> </w:t>
      </w:r>
      <w:proofErr w:type="gramStart"/>
      <w:r w:rsidR="00D34A55" w:rsidRPr="00D34A55">
        <w:rPr>
          <w:b/>
        </w:rPr>
        <w:t>12 - 48</w:t>
      </w:r>
      <w:proofErr w:type="gramEnd"/>
      <w:r w:rsidR="00D34A55" w:rsidRPr="00D34A55">
        <w:rPr>
          <w:b/>
        </w:rPr>
        <w:t xml:space="preserve"> měsíců v PP1 i PP2, 36 - 90 měsíců v PP3</w:t>
      </w:r>
    </w:p>
    <w:p w14:paraId="78CAD05E" w14:textId="77777777" w:rsidR="0057770F" w:rsidRDefault="0057770F" w:rsidP="0057770F">
      <w:pPr>
        <w:rPr>
          <w:b/>
        </w:rPr>
      </w:pPr>
    </w:p>
    <w:p w14:paraId="17A8A1C8" w14:textId="77777777" w:rsidR="004A1956" w:rsidRPr="008F2375" w:rsidRDefault="004A1956" w:rsidP="0057770F">
      <w:pPr>
        <w:rPr>
          <w:b/>
          <w:color w:val="1F4E79" w:themeColor="accent1" w:themeShade="80"/>
          <w:sz w:val="28"/>
          <w:szCs w:val="28"/>
        </w:rPr>
      </w:pPr>
      <w:r w:rsidRPr="008F2375">
        <w:rPr>
          <w:b/>
          <w:color w:val="1F4E79" w:themeColor="accent1" w:themeShade="80"/>
          <w:sz w:val="28"/>
          <w:szCs w:val="28"/>
        </w:rPr>
        <w:t>Kontaktní osoby:</w:t>
      </w:r>
    </w:p>
    <w:p w14:paraId="3B534468" w14:textId="77777777" w:rsidR="00DB59BE" w:rsidRDefault="00E30C7E" w:rsidP="00DB59BE">
      <w:pPr>
        <w:spacing w:after="120"/>
        <w:rPr>
          <w:b/>
        </w:rPr>
      </w:pPr>
      <w:r>
        <w:rPr>
          <w:b/>
        </w:rPr>
        <w:t>S</w:t>
      </w:r>
      <w:r w:rsidR="004A1956">
        <w:rPr>
          <w:b/>
        </w:rPr>
        <w:t xml:space="preserve">outěž TAČR na VUT Brno – Ing. </w:t>
      </w:r>
      <w:r w:rsidR="00AA3A90">
        <w:rPr>
          <w:b/>
        </w:rPr>
        <w:t>Veronika Pilcerová</w:t>
      </w:r>
      <w:r w:rsidR="004A1956">
        <w:rPr>
          <w:b/>
        </w:rPr>
        <w:t xml:space="preserve"> (</w:t>
      </w:r>
      <w:hyperlink r:id="rId6" w:history="1">
        <w:r w:rsidR="00AA3A90" w:rsidRPr="00BF4A3F">
          <w:rPr>
            <w:rStyle w:val="Hypertextovodkaz"/>
            <w:b/>
          </w:rPr>
          <w:t>pilcerová@vutbr.cz</w:t>
        </w:r>
      </w:hyperlink>
      <w:r w:rsidR="004A1956">
        <w:rPr>
          <w:b/>
        </w:rPr>
        <w:t>, kl. 5237)</w:t>
      </w:r>
    </w:p>
    <w:p w14:paraId="04741FF4" w14:textId="77777777" w:rsidR="004A1956" w:rsidRDefault="004A1956" w:rsidP="00DB59BE">
      <w:pPr>
        <w:spacing w:after="120"/>
        <w:rPr>
          <w:b/>
        </w:rPr>
      </w:pPr>
      <w:r>
        <w:rPr>
          <w:b/>
        </w:rPr>
        <w:t>Duševní vlastnictví, konzultace smlouvy mezi uchazeči</w:t>
      </w:r>
      <w:r w:rsidR="00474F9B">
        <w:rPr>
          <w:b/>
        </w:rPr>
        <w:t>,</w:t>
      </w:r>
      <w:r w:rsidR="00481E77">
        <w:rPr>
          <w:b/>
        </w:rPr>
        <w:t xml:space="preserve"> </w:t>
      </w:r>
      <w:proofErr w:type="spellStart"/>
      <w:r w:rsidR="00481E77">
        <w:rPr>
          <w:b/>
        </w:rPr>
        <w:t>Letter</w:t>
      </w:r>
      <w:proofErr w:type="spellEnd"/>
      <w:r w:rsidR="00481E77">
        <w:rPr>
          <w:b/>
        </w:rPr>
        <w:t xml:space="preserve"> </w:t>
      </w:r>
      <w:proofErr w:type="spellStart"/>
      <w:r w:rsidR="00481E77">
        <w:rPr>
          <w:b/>
        </w:rPr>
        <w:t>of</w:t>
      </w:r>
      <w:proofErr w:type="spellEnd"/>
      <w:r w:rsidR="00481E77">
        <w:rPr>
          <w:b/>
        </w:rPr>
        <w:t xml:space="preserve"> </w:t>
      </w:r>
      <w:proofErr w:type="spellStart"/>
      <w:r w:rsidR="00481E77">
        <w:rPr>
          <w:b/>
        </w:rPr>
        <w:t>intent</w:t>
      </w:r>
      <w:proofErr w:type="spellEnd"/>
      <w:r>
        <w:rPr>
          <w:b/>
        </w:rPr>
        <w:t xml:space="preserve"> – O</w:t>
      </w:r>
      <w:r w:rsidR="00D34A55">
        <w:rPr>
          <w:b/>
        </w:rPr>
        <w:t>P</w:t>
      </w:r>
      <w:r>
        <w:rPr>
          <w:b/>
        </w:rPr>
        <w:t xml:space="preserve"> </w:t>
      </w:r>
      <w:r w:rsidR="007D1407">
        <w:rPr>
          <w:b/>
        </w:rPr>
        <w:t>Mgr. Michaela Daňková</w:t>
      </w:r>
      <w:r>
        <w:rPr>
          <w:b/>
        </w:rPr>
        <w:t xml:space="preserve"> (</w:t>
      </w:r>
      <w:hyperlink r:id="rId7" w:history="1">
        <w:r w:rsidR="007D1407" w:rsidRPr="00B10A20">
          <w:rPr>
            <w:rStyle w:val="Hypertextovodkaz"/>
            <w:b/>
          </w:rPr>
          <w:t>dankovam@vutbr.cz</w:t>
        </w:r>
      </w:hyperlink>
      <w:r>
        <w:rPr>
          <w:b/>
        </w:rPr>
        <w:t>, kl. 422</w:t>
      </w:r>
      <w:r w:rsidR="007D1407">
        <w:rPr>
          <w:b/>
        </w:rPr>
        <w:t>8</w:t>
      </w:r>
      <w:r>
        <w:rPr>
          <w:b/>
        </w:rPr>
        <w:t>)</w:t>
      </w:r>
    </w:p>
    <w:p w14:paraId="75FA82C4" w14:textId="77777777" w:rsidR="00D34A55" w:rsidRPr="00D34A55" w:rsidRDefault="00D34A55" w:rsidP="00DB59BE">
      <w:pPr>
        <w:spacing w:after="120" w:line="240" w:lineRule="auto"/>
        <w:jc w:val="both"/>
        <w:rPr>
          <w:rFonts w:cstheme="minorHAnsi"/>
          <w:b/>
        </w:rPr>
      </w:pPr>
      <w:r w:rsidRPr="002A7ABA">
        <w:rPr>
          <w:rFonts w:cstheme="minorHAnsi"/>
          <w:b/>
        </w:rPr>
        <w:t>Proces průběhu ochrany duševního vlastnictví</w:t>
      </w:r>
      <w:r>
        <w:rPr>
          <w:rFonts w:cstheme="minorHAnsi"/>
          <w:b/>
        </w:rPr>
        <w:t xml:space="preserve"> </w:t>
      </w:r>
      <w:r w:rsidRPr="002A7ABA">
        <w:rPr>
          <w:rFonts w:cstheme="minorHAnsi"/>
          <w:b/>
        </w:rPr>
        <w:t xml:space="preserve">– JUDr. Iva Horká </w:t>
      </w:r>
      <w:hyperlink r:id="rId8" w:history="1">
        <w:r w:rsidRPr="002A7ABA">
          <w:rPr>
            <w:rStyle w:val="Hypertextovodkaz"/>
            <w:rFonts w:cstheme="minorHAnsi"/>
            <w:b/>
          </w:rPr>
          <w:t>horka@vutbr.cz</w:t>
        </w:r>
      </w:hyperlink>
      <w:r w:rsidRPr="002A7ABA">
        <w:rPr>
          <w:rFonts w:cstheme="minorHAnsi"/>
          <w:b/>
        </w:rPr>
        <w:t xml:space="preserve">, kl.4225; Ing. Jana Ondroušková, </w:t>
      </w:r>
      <w:proofErr w:type="spellStart"/>
      <w:r w:rsidRPr="002A7ABA">
        <w:rPr>
          <w:rFonts w:cstheme="minorHAnsi"/>
          <w:b/>
        </w:rPr>
        <w:t>Ph.d.</w:t>
      </w:r>
      <w:proofErr w:type="spellEnd"/>
      <w:r w:rsidRPr="002A7ABA">
        <w:rPr>
          <w:rFonts w:cstheme="minorHAnsi"/>
          <w:b/>
        </w:rPr>
        <w:t xml:space="preserve"> </w:t>
      </w:r>
      <w:hyperlink r:id="rId9" w:history="1">
        <w:r w:rsidRPr="002A7ABA">
          <w:rPr>
            <w:rStyle w:val="Hypertextovodkaz"/>
            <w:rFonts w:cstheme="minorHAnsi"/>
            <w:b/>
          </w:rPr>
          <w:t>jana.ondrouskova@vutbr.cz</w:t>
        </w:r>
      </w:hyperlink>
      <w:r w:rsidRPr="002A7ABA">
        <w:rPr>
          <w:rFonts w:cstheme="minorHAnsi"/>
          <w:b/>
        </w:rPr>
        <w:t xml:space="preserve"> , kl. 4224</w:t>
      </w:r>
      <w:r>
        <w:rPr>
          <w:rFonts w:cstheme="minorHAnsi"/>
          <w:b/>
        </w:rPr>
        <w:t>)</w:t>
      </w:r>
    </w:p>
    <w:p w14:paraId="2677A313" w14:textId="77777777" w:rsidR="00A70CA5" w:rsidRDefault="00A70CA5" w:rsidP="00DB59BE">
      <w:pPr>
        <w:spacing w:after="120"/>
        <w:rPr>
          <w:b/>
        </w:rPr>
      </w:pPr>
      <w:r>
        <w:rPr>
          <w:b/>
        </w:rPr>
        <w:t>Otázka DPH v projektech TAČR – Ing. Romana Sasková (</w:t>
      </w:r>
      <w:hyperlink r:id="rId10" w:history="1">
        <w:r w:rsidR="007D1407" w:rsidRPr="00B10A20">
          <w:rPr>
            <w:rStyle w:val="Hypertextovodkaz"/>
            <w:b/>
          </w:rPr>
          <w:t>saskova@vutbr.cz</w:t>
        </w:r>
      </w:hyperlink>
      <w:r>
        <w:rPr>
          <w:b/>
        </w:rPr>
        <w:t>, kl. 5356)</w:t>
      </w:r>
    </w:p>
    <w:p w14:paraId="56B7CBC5" w14:textId="77777777" w:rsidR="00A70CA5" w:rsidRDefault="005962B5" w:rsidP="00DB59BE">
      <w:pPr>
        <w:spacing w:after="120"/>
        <w:rPr>
          <w:b/>
        </w:rPr>
      </w:pPr>
      <w:r>
        <w:rPr>
          <w:b/>
        </w:rPr>
        <w:t xml:space="preserve">Zadání do APOLLA pod programem financování: </w:t>
      </w:r>
      <w:r w:rsidR="00162A88" w:rsidRPr="009334D0">
        <w:rPr>
          <w:b/>
        </w:rPr>
        <w:t>T</w:t>
      </w:r>
      <w:r w:rsidR="009334D0" w:rsidRPr="009334D0">
        <w:rPr>
          <w:b/>
        </w:rPr>
        <w:t>S010</w:t>
      </w:r>
    </w:p>
    <w:p w14:paraId="6411236C" w14:textId="77777777" w:rsidR="005962B5" w:rsidRDefault="005962B5" w:rsidP="0057770F">
      <w:pPr>
        <w:rPr>
          <w:b/>
        </w:rPr>
      </w:pPr>
    </w:p>
    <w:p w14:paraId="0088E4CB" w14:textId="77777777" w:rsidR="00C10D9F" w:rsidRPr="008F2375" w:rsidRDefault="00C10D9F" w:rsidP="0057770F">
      <w:pPr>
        <w:rPr>
          <w:b/>
          <w:color w:val="1F4E79" w:themeColor="accent1" w:themeShade="80"/>
          <w:sz w:val="28"/>
          <w:szCs w:val="28"/>
        </w:rPr>
      </w:pPr>
      <w:r w:rsidRPr="008F2375">
        <w:rPr>
          <w:b/>
          <w:color w:val="1F4E79" w:themeColor="accent1" w:themeShade="80"/>
          <w:sz w:val="28"/>
          <w:szCs w:val="28"/>
        </w:rPr>
        <w:t>Odkaz na soutěž:</w:t>
      </w:r>
    </w:p>
    <w:p w14:paraId="1EBDEB35" w14:textId="77777777" w:rsidR="007D1407" w:rsidRPr="00D34A55" w:rsidRDefault="006209C7" w:rsidP="00D32D3A">
      <w:pPr>
        <w:rPr>
          <w:rStyle w:val="Hypertextovodkaz"/>
        </w:rPr>
      </w:pPr>
      <w:hyperlink r:id="rId11" w:history="1">
        <w:r w:rsidR="00D34A55" w:rsidRPr="00D34A55">
          <w:rPr>
            <w:rStyle w:val="Hypertextovodkaz"/>
            <w:b/>
          </w:rPr>
          <w:t>https://www.tacr.cz/soutez/program-theta-2/prvni-verejna-soutez-8/</w:t>
        </w:r>
      </w:hyperlink>
    </w:p>
    <w:p w14:paraId="76F51137" w14:textId="77777777" w:rsidR="00AA70A8" w:rsidRDefault="00AA70A8" w:rsidP="00D32D3A">
      <w:pPr>
        <w:rPr>
          <w:b/>
          <w:color w:val="1F4E79" w:themeColor="accent1" w:themeShade="80"/>
          <w:sz w:val="28"/>
          <w:szCs w:val="28"/>
        </w:rPr>
      </w:pPr>
    </w:p>
    <w:p w14:paraId="32A262D4" w14:textId="77777777" w:rsidR="00D32D3A" w:rsidRPr="008F2375" w:rsidRDefault="00D32D3A" w:rsidP="00D32D3A">
      <w:pPr>
        <w:rPr>
          <w:b/>
          <w:color w:val="1F4E79" w:themeColor="accent1" w:themeShade="80"/>
          <w:sz w:val="28"/>
          <w:szCs w:val="28"/>
        </w:rPr>
      </w:pPr>
      <w:r w:rsidRPr="008F2375">
        <w:rPr>
          <w:b/>
          <w:color w:val="1F4E79" w:themeColor="accent1" w:themeShade="80"/>
          <w:sz w:val="28"/>
          <w:szCs w:val="28"/>
        </w:rPr>
        <w:t>Základní finanční údaje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7"/>
      </w:tblGrid>
      <w:tr w:rsidR="00AA70A8" w:rsidRPr="00AA70A8" w14:paraId="4827FB22" w14:textId="77777777" w:rsidTr="00AA70A8">
        <w:tc>
          <w:tcPr>
            <w:tcW w:w="2336" w:type="dxa"/>
            <w:vAlign w:val="center"/>
          </w:tcPr>
          <w:p w14:paraId="1AB63A35" w14:textId="77777777" w:rsidR="00AA70A8" w:rsidRPr="00AA70A8" w:rsidRDefault="00AA70A8" w:rsidP="00AA70A8">
            <w:pPr>
              <w:spacing w:after="160" w:line="259" w:lineRule="auto"/>
              <w:rPr>
                <w:b/>
              </w:rPr>
            </w:pPr>
            <w:r w:rsidRPr="00AA70A8">
              <w:rPr>
                <w:b/>
              </w:rPr>
              <w:t>Podprogram</w:t>
            </w:r>
          </w:p>
        </w:tc>
        <w:tc>
          <w:tcPr>
            <w:tcW w:w="2336" w:type="dxa"/>
            <w:vAlign w:val="center"/>
          </w:tcPr>
          <w:p w14:paraId="5BE3B8E7" w14:textId="77777777" w:rsidR="00AA70A8" w:rsidRPr="00AA70A8" w:rsidRDefault="00AA70A8" w:rsidP="00AA70A8">
            <w:pPr>
              <w:spacing w:after="160" w:line="259" w:lineRule="auto"/>
              <w:jc w:val="center"/>
              <w:rPr>
                <w:b/>
              </w:rPr>
            </w:pPr>
            <w:r w:rsidRPr="00AA70A8">
              <w:rPr>
                <w:b/>
              </w:rPr>
              <w:t>PP1</w:t>
            </w:r>
          </w:p>
        </w:tc>
        <w:tc>
          <w:tcPr>
            <w:tcW w:w="2337" w:type="dxa"/>
            <w:vAlign w:val="center"/>
          </w:tcPr>
          <w:p w14:paraId="4A3951DB" w14:textId="77777777" w:rsidR="00AA70A8" w:rsidRPr="00AA70A8" w:rsidRDefault="00AA70A8" w:rsidP="00AA70A8">
            <w:pPr>
              <w:spacing w:after="160" w:line="259" w:lineRule="auto"/>
              <w:jc w:val="center"/>
              <w:rPr>
                <w:b/>
              </w:rPr>
            </w:pPr>
            <w:r w:rsidRPr="00AA70A8">
              <w:rPr>
                <w:b/>
              </w:rPr>
              <w:t>PP2</w:t>
            </w:r>
          </w:p>
        </w:tc>
        <w:tc>
          <w:tcPr>
            <w:tcW w:w="2337" w:type="dxa"/>
            <w:vAlign w:val="center"/>
          </w:tcPr>
          <w:p w14:paraId="14061388" w14:textId="77777777" w:rsidR="00AA70A8" w:rsidRPr="00AA70A8" w:rsidRDefault="00AA70A8" w:rsidP="00AA70A8">
            <w:pPr>
              <w:spacing w:after="160" w:line="259" w:lineRule="auto"/>
              <w:jc w:val="center"/>
              <w:rPr>
                <w:b/>
              </w:rPr>
            </w:pPr>
            <w:r w:rsidRPr="00AA70A8">
              <w:rPr>
                <w:b/>
              </w:rPr>
              <w:t>PP3</w:t>
            </w:r>
          </w:p>
        </w:tc>
      </w:tr>
      <w:tr w:rsidR="00AA70A8" w:rsidRPr="00AA70A8" w14:paraId="48F7802B" w14:textId="77777777" w:rsidTr="00AA70A8">
        <w:tc>
          <w:tcPr>
            <w:tcW w:w="2336" w:type="dxa"/>
            <w:vAlign w:val="center"/>
          </w:tcPr>
          <w:p w14:paraId="40DA2011" w14:textId="77777777" w:rsidR="00AA70A8" w:rsidRPr="00AA70A8" w:rsidRDefault="00AA70A8" w:rsidP="00AA70A8">
            <w:pPr>
              <w:spacing w:after="160" w:line="259" w:lineRule="auto"/>
              <w:rPr>
                <w:b/>
              </w:rPr>
            </w:pPr>
            <w:proofErr w:type="spellStart"/>
            <w:r w:rsidRPr="00AA70A8">
              <w:rPr>
                <w:b/>
              </w:rPr>
              <w:t>Předpokládáaná</w:t>
            </w:r>
            <w:proofErr w:type="spellEnd"/>
            <w:r w:rsidRPr="00AA70A8">
              <w:rPr>
                <w:b/>
              </w:rPr>
              <w:t xml:space="preserve"> alokace na soutěž</w:t>
            </w:r>
          </w:p>
        </w:tc>
        <w:tc>
          <w:tcPr>
            <w:tcW w:w="2336" w:type="dxa"/>
            <w:vAlign w:val="center"/>
          </w:tcPr>
          <w:p w14:paraId="0B0D086B" w14:textId="77777777" w:rsidR="00AA70A8" w:rsidRPr="00AA70A8" w:rsidRDefault="00AA70A8" w:rsidP="00AA70A8">
            <w:pPr>
              <w:spacing w:after="160" w:line="259" w:lineRule="auto"/>
              <w:jc w:val="center"/>
            </w:pPr>
            <w:r>
              <w:t>110 mil Kč</w:t>
            </w:r>
          </w:p>
        </w:tc>
        <w:tc>
          <w:tcPr>
            <w:tcW w:w="2337" w:type="dxa"/>
            <w:vAlign w:val="center"/>
          </w:tcPr>
          <w:p w14:paraId="0E0894FD" w14:textId="77777777" w:rsidR="00AA70A8" w:rsidRPr="00AA70A8" w:rsidRDefault="00AA70A8" w:rsidP="00AA70A8">
            <w:pPr>
              <w:spacing w:after="160" w:line="259" w:lineRule="auto"/>
              <w:jc w:val="center"/>
            </w:pPr>
            <w:r>
              <w:t>430 mil Kč</w:t>
            </w:r>
          </w:p>
        </w:tc>
        <w:tc>
          <w:tcPr>
            <w:tcW w:w="2337" w:type="dxa"/>
            <w:vAlign w:val="center"/>
          </w:tcPr>
          <w:p w14:paraId="7A487683" w14:textId="77777777" w:rsidR="00AA70A8" w:rsidRPr="00AA70A8" w:rsidRDefault="00AA70A8" w:rsidP="00AA70A8">
            <w:pPr>
              <w:spacing w:after="160" w:line="259" w:lineRule="auto"/>
              <w:jc w:val="center"/>
            </w:pPr>
            <w:r>
              <w:t>360 mil Kč</w:t>
            </w:r>
          </w:p>
        </w:tc>
      </w:tr>
      <w:tr w:rsidR="00AA70A8" w:rsidRPr="00AA70A8" w14:paraId="7D4FA678" w14:textId="77777777" w:rsidTr="00AA70A8">
        <w:tc>
          <w:tcPr>
            <w:tcW w:w="2336" w:type="dxa"/>
            <w:vAlign w:val="center"/>
          </w:tcPr>
          <w:p w14:paraId="59FCBFC5" w14:textId="77777777" w:rsidR="00AA70A8" w:rsidRPr="00AA70A8" w:rsidRDefault="00AA70A8" w:rsidP="00AA70A8">
            <w:pPr>
              <w:spacing w:after="160" w:line="259" w:lineRule="auto"/>
              <w:rPr>
                <w:b/>
              </w:rPr>
            </w:pPr>
            <w:r w:rsidRPr="00AA70A8">
              <w:rPr>
                <w:b/>
              </w:rPr>
              <w:t>Maximální částka podpory na projekt</w:t>
            </w:r>
          </w:p>
        </w:tc>
        <w:tc>
          <w:tcPr>
            <w:tcW w:w="2336" w:type="dxa"/>
            <w:vAlign w:val="center"/>
          </w:tcPr>
          <w:p w14:paraId="5055D3B7" w14:textId="77777777" w:rsidR="00AA70A8" w:rsidRPr="00AA70A8" w:rsidRDefault="00AA70A8" w:rsidP="00AA70A8">
            <w:pPr>
              <w:spacing w:after="160" w:line="259" w:lineRule="auto"/>
              <w:jc w:val="center"/>
            </w:pPr>
            <w:r>
              <w:t>10 mil Kč</w:t>
            </w:r>
          </w:p>
        </w:tc>
        <w:tc>
          <w:tcPr>
            <w:tcW w:w="2337" w:type="dxa"/>
            <w:vAlign w:val="center"/>
          </w:tcPr>
          <w:p w14:paraId="07A7E395" w14:textId="77777777" w:rsidR="00AA70A8" w:rsidRPr="00AA70A8" w:rsidRDefault="00AA70A8" w:rsidP="00AA70A8">
            <w:pPr>
              <w:spacing w:after="160" w:line="259" w:lineRule="auto"/>
              <w:jc w:val="center"/>
            </w:pPr>
            <w:r>
              <w:t>Není stanoveno</w:t>
            </w:r>
          </w:p>
        </w:tc>
        <w:tc>
          <w:tcPr>
            <w:tcW w:w="2337" w:type="dxa"/>
            <w:vAlign w:val="center"/>
          </w:tcPr>
          <w:p w14:paraId="4ED28546" w14:textId="77777777" w:rsidR="00AA70A8" w:rsidRPr="00AA70A8" w:rsidRDefault="00AA70A8" w:rsidP="00AA70A8">
            <w:pPr>
              <w:spacing w:after="160" w:line="259" w:lineRule="auto"/>
              <w:jc w:val="center"/>
            </w:pPr>
            <w:r>
              <w:t>Není stanoveno</w:t>
            </w:r>
          </w:p>
        </w:tc>
      </w:tr>
      <w:tr w:rsidR="00AA70A8" w:rsidRPr="00AA70A8" w14:paraId="6EDC2D6C" w14:textId="77777777" w:rsidTr="00AA70A8">
        <w:tc>
          <w:tcPr>
            <w:tcW w:w="2336" w:type="dxa"/>
            <w:vAlign w:val="center"/>
          </w:tcPr>
          <w:p w14:paraId="73B233D7" w14:textId="77777777" w:rsidR="00AA70A8" w:rsidRPr="00AA70A8" w:rsidRDefault="00AA70A8" w:rsidP="00AA70A8">
            <w:pPr>
              <w:spacing w:after="160" w:line="259" w:lineRule="auto"/>
              <w:rPr>
                <w:b/>
              </w:rPr>
            </w:pPr>
            <w:proofErr w:type="spellStart"/>
            <w:r w:rsidRPr="00AA70A8">
              <w:rPr>
                <w:b/>
              </w:rPr>
              <w:t>Maxcimální</w:t>
            </w:r>
            <w:proofErr w:type="spellEnd"/>
            <w:r w:rsidRPr="00AA70A8">
              <w:rPr>
                <w:b/>
              </w:rPr>
              <w:t xml:space="preserve"> intenzita podpory</w:t>
            </w:r>
          </w:p>
        </w:tc>
        <w:tc>
          <w:tcPr>
            <w:tcW w:w="2336" w:type="dxa"/>
            <w:vAlign w:val="center"/>
          </w:tcPr>
          <w:p w14:paraId="167BAED4" w14:textId="77777777" w:rsidR="00AA70A8" w:rsidRPr="00AA70A8" w:rsidRDefault="00AA70A8" w:rsidP="00AA70A8">
            <w:pPr>
              <w:spacing w:after="160" w:line="259" w:lineRule="auto"/>
              <w:jc w:val="center"/>
            </w:pPr>
            <w:r>
              <w:t>90 %</w:t>
            </w:r>
          </w:p>
        </w:tc>
        <w:tc>
          <w:tcPr>
            <w:tcW w:w="2337" w:type="dxa"/>
            <w:vAlign w:val="center"/>
          </w:tcPr>
          <w:p w14:paraId="21EEA7E6" w14:textId="77777777" w:rsidR="00AA70A8" w:rsidRPr="00AA70A8" w:rsidRDefault="00AA70A8" w:rsidP="00AA70A8">
            <w:pPr>
              <w:spacing w:after="160" w:line="259" w:lineRule="auto"/>
              <w:jc w:val="center"/>
            </w:pPr>
            <w:r>
              <w:t>60 n%</w:t>
            </w:r>
          </w:p>
        </w:tc>
        <w:tc>
          <w:tcPr>
            <w:tcW w:w="2337" w:type="dxa"/>
            <w:vAlign w:val="center"/>
          </w:tcPr>
          <w:p w14:paraId="5BABF4D3" w14:textId="77777777" w:rsidR="00AA70A8" w:rsidRPr="00AA70A8" w:rsidRDefault="00AA70A8" w:rsidP="00AA70A8">
            <w:pPr>
              <w:spacing w:after="160" w:line="259" w:lineRule="auto"/>
              <w:jc w:val="center"/>
            </w:pPr>
            <w:proofErr w:type="gramStart"/>
            <w:r>
              <w:t>85%</w:t>
            </w:r>
            <w:proofErr w:type="gramEnd"/>
          </w:p>
        </w:tc>
      </w:tr>
    </w:tbl>
    <w:p w14:paraId="0FC78239" w14:textId="77777777" w:rsidR="00AA70A8" w:rsidRDefault="00AA70A8" w:rsidP="00AA70A8">
      <w:pPr>
        <w:jc w:val="both"/>
        <w:rPr>
          <w:b/>
          <w:color w:val="1F4E79" w:themeColor="accent1" w:themeShade="80"/>
          <w:sz w:val="28"/>
          <w:szCs w:val="28"/>
        </w:rPr>
      </w:pPr>
      <w:r>
        <w:lastRenderedPageBreak/>
        <w:t xml:space="preserve">V této veřejné soutěži je stanovena specifická alokace pro strukturálně postižené regiony (strategie </w:t>
      </w:r>
      <w:proofErr w:type="gramStart"/>
      <w:r>
        <w:t>RE:START</w:t>
      </w:r>
      <w:proofErr w:type="gramEnd"/>
      <w:r>
        <w:t xml:space="preserve">) v celkové výši 72 mil. Kč. Z této alokace je 36 mil. Kč určeno pro Ústecký a Karlovarský kraj (region NUTS II Severozápad) – a 36 mil. Kč pro Moravskoslezský kraj (region NUTS II </w:t>
      </w:r>
      <w:proofErr w:type="spellStart"/>
      <w:r>
        <w:t>Moravskoslezsko</w:t>
      </w:r>
      <w:proofErr w:type="spellEnd"/>
      <w:r>
        <w:t>).</w:t>
      </w:r>
    </w:p>
    <w:p w14:paraId="73DB6D17" w14:textId="77777777" w:rsidR="00AA70A8" w:rsidRDefault="00AA70A8" w:rsidP="0057770F">
      <w:pPr>
        <w:rPr>
          <w:b/>
          <w:color w:val="1F4E79" w:themeColor="accent1" w:themeShade="80"/>
          <w:sz w:val="28"/>
          <w:szCs w:val="28"/>
        </w:rPr>
      </w:pPr>
    </w:p>
    <w:p w14:paraId="43F507E3" w14:textId="77777777" w:rsidR="00350D3D" w:rsidRPr="00D34A55" w:rsidRDefault="00474F9B" w:rsidP="0057770F">
      <w:pPr>
        <w:rPr>
          <w:b/>
          <w:color w:val="1F4E79" w:themeColor="accent1" w:themeShade="80"/>
          <w:sz w:val="28"/>
          <w:szCs w:val="28"/>
        </w:rPr>
      </w:pPr>
      <w:r w:rsidRPr="00D34A55">
        <w:rPr>
          <w:b/>
          <w:color w:val="1F4E79" w:themeColor="accent1" w:themeShade="80"/>
          <w:sz w:val="28"/>
          <w:szCs w:val="28"/>
        </w:rPr>
        <w:t>Zaměření programu:</w:t>
      </w:r>
    </w:p>
    <w:p w14:paraId="2A3C651C" w14:textId="77777777" w:rsidR="00D34A55" w:rsidRPr="00D34A55" w:rsidRDefault="00D34A55" w:rsidP="00EA3292">
      <w:pPr>
        <w:rPr>
          <w:b/>
        </w:rPr>
      </w:pPr>
      <w:r w:rsidRPr="00D34A55">
        <w:rPr>
          <w:b/>
        </w:rPr>
        <w:t xml:space="preserve">Podprogram 1 – Výzkum ve veřejném zájmu </w:t>
      </w:r>
    </w:p>
    <w:p w14:paraId="69FFAE3F" w14:textId="77777777" w:rsidR="00D34A55" w:rsidRDefault="00D34A55" w:rsidP="00D34A55">
      <w:pPr>
        <w:jc w:val="both"/>
      </w:pPr>
      <w:r>
        <w:t xml:space="preserve">Cílem návrhu projektu podaného do tohoto podprogramu je přispět k tvorbě kvalitních podkladů (analýzy, modely, hodnocení variantních scénářů atd.) pro objektivní rozhodování veřejné správy při řízení energetického sektoru (strategie, politiky, legislativa, regulatorika a cenotvorba, normotvorba či stanovení podpor). Výstupy/výsledky by měly navrhovat řešení pro plnění strategie klimatické neutrality a současně zajistit dodávky energií v potřebném objemu, čase, kvalitě a za přijatelných vlivů na životní prostředí a ceny. Návrhy projektů musí zohledňovat základní a provázané trendy v energetice, kterými jsou dekarbonizace, decentralizace, digitalizace a demokratizace, a to z pohledu veřejného zájmu. Zároveň by měly obsahovat mezioborové technické oblasti, tj. interakce a propojení energetiky s ostatními sektory (dopravou, průmyslem, péčí o krajinu, hospodařením s půdou, vodou či odpady, zemědělstvím či lesnictvím). </w:t>
      </w:r>
    </w:p>
    <w:p w14:paraId="10CCA73E" w14:textId="77777777" w:rsidR="00D34A55" w:rsidRPr="00D34A55" w:rsidRDefault="00D34A55" w:rsidP="00EA3292">
      <w:pPr>
        <w:rPr>
          <w:b/>
        </w:rPr>
      </w:pPr>
      <w:r w:rsidRPr="00D34A55">
        <w:rPr>
          <w:b/>
        </w:rPr>
        <w:t xml:space="preserve">Podprogram 2 – Energetické technologie pro konkurenceschopnost </w:t>
      </w:r>
    </w:p>
    <w:p w14:paraId="1638AEC6" w14:textId="77777777" w:rsidR="00D34A55" w:rsidRDefault="00D34A55" w:rsidP="00D34A55">
      <w:pPr>
        <w:jc w:val="both"/>
      </w:pPr>
      <w:r>
        <w:t xml:space="preserve">Cílem návrhu projektu podaného do tohoto podprogramu je přispět k přípravě technologií a řešení s rychlým uplatněním v praxi a podpořit tak konkurenceschopnost inovační sféry, výrobních a dodavatelských podniků působících v ČR, včetně zvýšení jejich exportního potenciálu. Návrhy projektů by měly popisovat technologie a technologická řešení, která přispějí k plnění klimaticko-energetických a environmentálních cílů ČR, především v krátkodobém a střednědobém horizontu. Návrhy projektů mohou směřovat jak do nových oblastí (kde se pak předpokládá vznik start-upů či rozšíření produktové řady podniků o vysoce inovativní produkty a služby), tak do oblastí tradičních, v nichž je výzkum a vývoj v ČR již na evropské a světové úrovni nebo může významně využívat konkurenční výhody (tradice, know-how, geografické podmínky, existence infrastruktury, silné postavení na mezinárodním trhu apod.). </w:t>
      </w:r>
    </w:p>
    <w:p w14:paraId="17958CB7" w14:textId="77777777" w:rsidR="00D34A55" w:rsidRPr="00D34A55" w:rsidRDefault="00D34A55" w:rsidP="00EA3292">
      <w:pPr>
        <w:rPr>
          <w:b/>
        </w:rPr>
      </w:pPr>
      <w:r w:rsidRPr="00D34A55">
        <w:rPr>
          <w:b/>
        </w:rPr>
        <w:t xml:space="preserve">Podprogram 3 – Technologie k zajištění dlouhodobé udržitelnosti energetiky </w:t>
      </w:r>
    </w:p>
    <w:p w14:paraId="5F441774" w14:textId="77777777" w:rsidR="00EA3292" w:rsidRDefault="00D34A55" w:rsidP="00D34A55">
      <w:pPr>
        <w:jc w:val="both"/>
      </w:pPr>
      <w:r>
        <w:t>Návrh projektu podaný do tohoto podprogramu by měl obsahovat technologie a řešení, které se v době návrhu projektu nacházet v nižším stupni technologické připravenosti (TRL, typicky 3 až 5) a kde se tak primárně neočekává rychlá uplatnitelnost výstupů/výsledků v praxi. Očekává se vyšší míra rizika z hlediska dosažení plánovaných cílů a parametrů v porovnání s návrhy projektů vhodných pro podprogram 2. Návrhy projektů mají směřovat k přípravě nových a netradičních řešení, a tedy podpoře zásadních a průlomových inovací, které napomůžou České republice. Ve zdůvodněných případech se může jednat o komplexní a dlouhodobější návrhy projektů, pokud však cílí na komplexní a integrální technologická řešení. V těchto případech se předpokládá, že hlavními uchazeči budou především etablované výzkumné organizace s rozsáhlými mezinárodními vazbami.</w:t>
      </w:r>
    </w:p>
    <w:p w14:paraId="5244A836" w14:textId="77777777" w:rsidR="00EA3292" w:rsidRPr="00EA3292" w:rsidRDefault="00EA3292" w:rsidP="00EA3292"/>
    <w:p w14:paraId="2EF60F1D" w14:textId="77777777" w:rsidR="0057770F" w:rsidRPr="008F2375" w:rsidRDefault="0057770F" w:rsidP="0057770F">
      <w:pPr>
        <w:rPr>
          <w:b/>
          <w:color w:val="1F4E79" w:themeColor="accent1" w:themeShade="80"/>
          <w:sz w:val="28"/>
          <w:szCs w:val="28"/>
        </w:rPr>
      </w:pPr>
      <w:r w:rsidRPr="008F2375">
        <w:rPr>
          <w:b/>
          <w:color w:val="1F4E79" w:themeColor="accent1" w:themeShade="80"/>
          <w:sz w:val="28"/>
          <w:szCs w:val="28"/>
        </w:rPr>
        <w:t>Uchazeči:</w:t>
      </w:r>
    </w:p>
    <w:p w14:paraId="30AE89CD" w14:textId="77777777" w:rsidR="00BC5DC4" w:rsidRDefault="00BC5DC4" w:rsidP="00BC5DC4">
      <w:pPr>
        <w:pStyle w:val="Odstavecseseznamem"/>
        <w:numPr>
          <w:ilvl w:val="0"/>
          <w:numId w:val="16"/>
        </w:numPr>
      </w:pPr>
      <w:r w:rsidRPr="00BC5DC4">
        <w:t xml:space="preserve">výzkumné organizace </w:t>
      </w:r>
    </w:p>
    <w:p w14:paraId="32E95524" w14:textId="77777777" w:rsidR="00CD7938" w:rsidRDefault="00474F9B" w:rsidP="00682062">
      <w:pPr>
        <w:pStyle w:val="Odstavecseseznamem"/>
        <w:numPr>
          <w:ilvl w:val="0"/>
          <w:numId w:val="16"/>
        </w:numPr>
      </w:pPr>
      <w:r>
        <w:t>podniky</w:t>
      </w:r>
      <w:r w:rsidR="002F1541">
        <w:t xml:space="preserve"> (bez ohledu na svou právní formu - např. neziskové organizace, spolky, příspěvkové organizace) </w:t>
      </w:r>
    </w:p>
    <w:p w14:paraId="3C740D7C" w14:textId="77777777" w:rsidR="00D34A55" w:rsidRDefault="00D34A55" w:rsidP="00D34A55">
      <w:r>
        <w:lastRenderedPageBreak/>
        <w:t>Uchazeči v této veřejné soutěži budou ve všech podprogramech uplatnitelnost výstupů/výsledků v praxi dokládat formou jejího popisu v návrhu projektu. U podprogramu 1 je navíc vyžadována role aplikačního garanta, zejména protože se jedná o výzkum spojený s veřejnou správou a je nutné prokázat, že ta má o výstup/výsledek zájem.</w:t>
      </w:r>
    </w:p>
    <w:p w14:paraId="4B362BDB" w14:textId="77777777" w:rsidR="00D34A55" w:rsidRPr="00BC5DC4" w:rsidRDefault="00D34A55" w:rsidP="00D34A55"/>
    <w:p w14:paraId="783D5A48" w14:textId="77777777" w:rsidR="00421000" w:rsidRPr="00AA70A8" w:rsidRDefault="00421000" w:rsidP="008F2375">
      <w:pPr>
        <w:rPr>
          <w:b/>
          <w:color w:val="1F4E79" w:themeColor="accent1" w:themeShade="80"/>
          <w:sz w:val="28"/>
          <w:szCs w:val="28"/>
        </w:rPr>
      </w:pPr>
      <w:r w:rsidRPr="00AA70A8">
        <w:rPr>
          <w:b/>
          <w:color w:val="1F4E79" w:themeColor="accent1" w:themeShade="80"/>
          <w:sz w:val="28"/>
          <w:szCs w:val="28"/>
        </w:rPr>
        <w:t>Způsobilé náklady</w:t>
      </w:r>
      <w:r w:rsidR="00A24015" w:rsidRPr="00AA70A8">
        <w:rPr>
          <w:b/>
          <w:color w:val="1F4E79" w:themeColor="accent1" w:themeShade="80"/>
          <w:sz w:val="28"/>
          <w:szCs w:val="28"/>
        </w:rPr>
        <w:t>:</w:t>
      </w:r>
      <w:r w:rsidRPr="00AA70A8">
        <w:rPr>
          <w:b/>
          <w:color w:val="1F4E79" w:themeColor="accent1" w:themeShade="80"/>
          <w:sz w:val="28"/>
          <w:szCs w:val="28"/>
        </w:rPr>
        <w:t xml:space="preserve">  </w:t>
      </w:r>
    </w:p>
    <w:p w14:paraId="64BD614F" w14:textId="77777777" w:rsidR="00AA70A8" w:rsidRDefault="00421000" w:rsidP="00AA70A8">
      <w:pPr>
        <w:pStyle w:val="Odstavecseseznamem"/>
        <w:numPr>
          <w:ilvl w:val="0"/>
          <w:numId w:val="47"/>
        </w:numPr>
      </w:pPr>
      <w:r w:rsidRPr="00AA70A8">
        <w:t>osobní ná</w:t>
      </w:r>
      <w:r w:rsidR="00A24015" w:rsidRPr="00AA70A8">
        <w:t>klady</w:t>
      </w:r>
      <w:r w:rsidRPr="00AA70A8">
        <w:t xml:space="preserve">; </w:t>
      </w:r>
    </w:p>
    <w:p w14:paraId="504AF5EE" w14:textId="77777777" w:rsidR="00AA70A8" w:rsidRDefault="00421000" w:rsidP="00AA70A8">
      <w:pPr>
        <w:pStyle w:val="Odstavecseseznamem"/>
        <w:numPr>
          <w:ilvl w:val="0"/>
          <w:numId w:val="47"/>
        </w:numPr>
      </w:pPr>
      <w:r w:rsidRPr="00AA70A8">
        <w:t>náklady na subdodávky</w:t>
      </w:r>
      <w:r w:rsidR="00734728" w:rsidRPr="00AA70A8">
        <w:t xml:space="preserve"> (max. </w:t>
      </w:r>
      <w:proofErr w:type="gramStart"/>
      <w:r w:rsidR="00734728" w:rsidRPr="00AA70A8">
        <w:t>20%</w:t>
      </w:r>
      <w:proofErr w:type="gramEnd"/>
      <w:r w:rsidR="00734728" w:rsidRPr="00AA70A8">
        <w:t xml:space="preserve"> - jedná se o výzkumné subdodávky)</w:t>
      </w:r>
      <w:r w:rsidRPr="00AA70A8">
        <w:t xml:space="preserve">; </w:t>
      </w:r>
    </w:p>
    <w:p w14:paraId="66C98A51" w14:textId="77777777" w:rsidR="00AA70A8" w:rsidRDefault="00421000" w:rsidP="00AA70A8">
      <w:pPr>
        <w:pStyle w:val="Odstavecseseznamem"/>
        <w:numPr>
          <w:ilvl w:val="0"/>
          <w:numId w:val="47"/>
        </w:numPr>
      </w:pPr>
      <w:r w:rsidRPr="00AA70A8">
        <w:t xml:space="preserve">ostatní přímé náklady; </w:t>
      </w:r>
    </w:p>
    <w:p w14:paraId="5CCC43FA" w14:textId="77777777" w:rsidR="00AA70A8" w:rsidRDefault="00421000" w:rsidP="00AA70A8">
      <w:pPr>
        <w:pStyle w:val="Odstavecseseznamem"/>
        <w:numPr>
          <w:ilvl w:val="0"/>
          <w:numId w:val="47"/>
        </w:numPr>
      </w:pPr>
      <w:r w:rsidRPr="00AA70A8">
        <w:t>nepřímé náklady</w:t>
      </w:r>
      <w:r w:rsidR="00F36C80" w:rsidRPr="00AA70A8">
        <w:t>;</w:t>
      </w:r>
    </w:p>
    <w:p w14:paraId="2358C602" w14:textId="77777777" w:rsidR="00F36C80" w:rsidRPr="00AA70A8" w:rsidRDefault="00F36C80" w:rsidP="00AA70A8">
      <w:pPr>
        <w:pStyle w:val="Odstavecseseznamem"/>
        <w:numPr>
          <w:ilvl w:val="0"/>
          <w:numId w:val="47"/>
        </w:numPr>
      </w:pPr>
      <w:r w:rsidRPr="00AA70A8">
        <w:t>stipendia</w:t>
      </w:r>
      <w:r w:rsidR="004A1956" w:rsidRPr="00AA70A8">
        <w:t>, která jsou zařazena do osobních nákladů</w:t>
      </w:r>
      <w:r w:rsidRPr="00AA70A8">
        <w:t xml:space="preserve"> (na VUT není tento náklad doporučován!)</w:t>
      </w:r>
    </w:p>
    <w:p w14:paraId="1FB0FBB1" w14:textId="77777777" w:rsidR="00894BEB" w:rsidRPr="00AA70A8" w:rsidRDefault="00210CA9" w:rsidP="0057770F">
      <w:r w:rsidRPr="00AA70A8">
        <w:t xml:space="preserve">Nepřímé náklady: </w:t>
      </w:r>
      <w:proofErr w:type="spellStart"/>
      <w:r w:rsidRPr="00AA70A8">
        <w:t>Flate</w:t>
      </w:r>
      <w:proofErr w:type="spellEnd"/>
      <w:r w:rsidRPr="00AA70A8">
        <w:t xml:space="preserve"> </w:t>
      </w:r>
      <w:proofErr w:type="spellStart"/>
      <w:r w:rsidRPr="00AA70A8">
        <w:t>rate</w:t>
      </w:r>
      <w:proofErr w:type="spellEnd"/>
      <w:r w:rsidRPr="00AA70A8">
        <w:t xml:space="preserve"> </w:t>
      </w:r>
      <w:proofErr w:type="gramStart"/>
      <w:r w:rsidR="003B2398" w:rsidRPr="00AA70A8">
        <w:t>25</w:t>
      </w:r>
      <w:r w:rsidR="00C2215E" w:rsidRPr="00AA70A8">
        <w:t>%</w:t>
      </w:r>
      <w:proofErr w:type="gramEnd"/>
      <w:r w:rsidR="00C2215E" w:rsidRPr="00AA70A8">
        <w:t xml:space="preserve"> </w:t>
      </w:r>
      <w:r w:rsidR="00942569" w:rsidRPr="00AA70A8">
        <w:t xml:space="preserve">z osobních nákladů a ostatních přímých nákladů, </w:t>
      </w:r>
      <w:r w:rsidRPr="00AA70A8">
        <w:t>nebo Full</w:t>
      </w:r>
      <w:r w:rsidRPr="00942569">
        <w:t xml:space="preserve"> </w:t>
      </w:r>
      <w:proofErr w:type="spellStart"/>
      <w:r w:rsidRPr="00942569">
        <w:t>cost</w:t>
      </w:r>
      <w:proofErr w:type="spellEnd"/>
    </w:p>
    <w:p w14:paraId="63B47B48" w14:textId="77777777" w:rsidR="00210CA9" w:rsidRDefault="00210CA9" w:rsidP="0057770F">
      <w:pPr>
        <w:rPr>
          <w:b/>
        </w:rPr>
      </w:pPr>
    </w:p>
    <w:p w14:paraId="1DEA6C06" w14:textId="77777777" w:rsidR="00894BEB" w:rsidRPr="008F2375" w:rsidRDefault="00894BEB" w:rsidP="0057770F">
      <w:pPr>
        <w:rPr>
          <w:b/>
          <w:color w:val="1F4E79" w:themeColor="accent1" w:themeShade="80"/>
          <w:sz w:val="28"/>
          <w:szCs w:val="28"/>
        </w:rPr>
      </w:pPr>
      <w:r w:rsidRPr="008F2375">
        <w:rPr>
          <w:b/>
          <w:color w:val="1F4E79" w:themeColor="accent1" w:themeShade="80"/>
          <w:sz w:val="28"/>
          <w:szCs w:val="28"/>
        </w:rPr>
        <w:t>Způsob podání návrhů projektů:</w:t>
      </w:r>
    </w:p>
    <w:p w14:paraId="453EE71D" w14:textId="77777777" w:rsidR="001B2F54" w:rsidRPr="00D34A55" w:rsidRDefault="001B2F54" w:rsidP="001B2F54">
      <w:pPr>
        <w:rPr>
          <w:b/>
        </w:rPr>
      </w:pPr>
      <w:r w:rsidRPr="001B2F54">
        <w:rPr>
          <w:b/>
        </w:rPr>
        <w:t xml:space="preserve">Webový portál </w:t>
      </w:r>
      <w:r w:rsidR="00D34A55">
        <w:rPr>
          <w:b/>
        </w:rPr>
        <w:t>S</w:t>
      </w:r>
      <w:r w:rsidRPr="001B2F54">
        <w:rPr>
          <w:b/>
        </w:rPr>
        <w:t xml:space="preserve">ISTA </w:t>
      </w:r>
      <w:hyperlink r:id="rId12" w:history="1">
        <w:r w:rsidR="00D34A55" w:rsidRPr="00D34A55">
          <w:rPr>
            <w:rStyle w:val="Hypertextovodkaz"/>
            <w:b/>
          </w:rPr>
          <w:t>https://sista.tacr.cz/ucet/?client_id=ista&amp;redirect_uri=https://ista.tacr.cz:443/ISTA/PUBLIC/oauthresp.jsp&amp;response_type=code&amp;scope=null&amp;state=null&amp;oauth=true</w:t>
        </w:r>
      </w:hyperlink>
      <w:r w:rsidR="00D34A55" w:rsidRPr="00D34A55">
        <w:rPr>
          <w:b/>
        </w:rPr>
        <w:t xml:space="preserve"> </w:t>
      </w:r>
    </w:p>
    <w:p w14:paraId="19352193" w14:textId="77777777" w:rsidR="00894BEB" w:rsidRDefault="00894BEB" w:rsidP="00A26BA0">
      <w:pPr>
        <w:rPr>
          <w:b/>
          <w:highlight w:val="yellow"/>
        </w:rPr>
      </w:pPr>
    </w:p>
    <w:p w14:paraId="2655B64E" w14:textId="77777777" w:rsidR="00D34A55" w:rsidRPr="00D34A55" w:rsidRDefault="00D34A55" w:rsidP="00A26BA0">
      <w:pPr>
        <w:rPr>
          <w:b/>
          <w:color w:val="1F4E79" w:themeColor="accent1" w:themeShade="80"/>
          <w:sz w:val="28"/>
          <w:szCs w:val="28"/>
        </w:rPr>
      </w:pPr>
      <w:r w:rsidRPr="00D34A55">
        <w:rPr>
          <w:b/>
          <w:color w:val="1F4E79" w:themeColor="accent1" w:themeShade="80"/>
          <w:sz w:val="28"/>
          <w:szCs w:val="28"/>
        </w:rPr>
        <w:t>Aplikování výstupů a výsledků</w:t>
      </w:r>
    </w:p>
    <w:p w14:paraId="413FA720" w14:textId="77777777" w:rsidR="00D34A55" w:rsidRPr="00916256" w:rsidRDefault="00D34A55" w:rsidP="00AA70A8">
      <w:pPr>
        <w:jc w:val="both"/>
        <w:rPr>
          <w:color w:val="FF0000"/>
        </w:rPr>
      </w:pPr>
      <w:r>
        <w:t xml:space="preserve">V této veřejné soutěži budou uchazeči ve všech podprogramech uplatnitelnost výstupů/výsledků v praxi dokládat formou jejího popisu v návrhu projektu. </w:t>
      </w:r>
      <w:r w:rsidRPr="00DA72CD">
        <w:rPr>
          <w:b/>
          <w:color w:val="FF0000"/>
        </w:rPr>
        <w:t>U podprogramu 1 je navíc vyžadována role aplikačního garanta</w:t>
      </w:r>
      <w:r w:rsidRPr="00916256">
        <w:rPr>
          <w:color w:val="FF0000"/>
        </w:rPr>
        <w:t>.</w:t>
      </w:r>
      <w:r w:rsidR="00AA70A8" w:rsidRPr="00916256">
        <w:rPr>
          <w:color w:val="FF0000"/>
        </w:rPr>
        <w:t xml:space="preserve"> Za každého aplikačního garanta musí uchazeči přiložit povinnou přílohu formou </w:t>
      </w:r>
      <w:proofErr w:type="spellStart"/>
      <w:r w:rsidR="00AA70A8" w:rsidRPr="00916256">
        <w:rPr>
          <w:color w:val="FF0000"/>
        </w:rPr>
        <w:t>Letter</w:t>
      </w:r>
      <w:proofErr w:type="spellEnd"/>
      <w:r w:rsidR="00AA70A8" w:rsidRPr="00916256">
        <w:rPr>
          <w:color w:val="FF0000"/>
        </w:rPr>
        <w:t xml:space="preserve"> </w:t>
      </w:r>
      <w:proofErr w:type="spellStart"/>
      <w:r w:rsidR="00AA70A8" w:rsidRPr="00916256">
        <w:rPr>
          <w:color w:val="FF0000"/>
        </w:rPr>
        <w:t>of</w:t>
      </w:r>
      <w:proofErr w:type="spellEnd"/>
      <w:r w:rsidR="00AA70A8" w:rsidRPr="00916256">
        <w:rPr>
          <w:color w:val="FF0000"/>
        </w:rPr>
        <w:t xml:space="preserve"> </w:t>
      </w:r>
      <w:proofErr w:type="spellStart"/>
      <w:r w:rsidR="00AA70A8" w:rsidRPr="00916256">
        <w:rPr>
          <w:color w:val="FF0000"/>
        </w:rPr>
        <w:t>Intent</w:t>
      </w:r>
      <w:proofErr w:type="spellEnd"/>
      <w:r w:rsidR="00AA70A8" w:rsidRPr="00916256">
        <w:rPr>
          <w:color w:val="FF0000"/>
        </w:rPr>
        <w:t xml:space="preserve"> (dopis o záměru), která prokáže zájem aplikačního garanta o výstupy/výsledky návrhu projektu.</w:t>
      </w:r>
      <w:r w:rsidR="000D75D8">
        <w:rPr>
          <w:color w:val="FF0000"/>
        </w:rPr>
        <w:t xml:space="preserve"> Bližší informace v </w:t>
      </w:r>
      <w:hyperlink r:id="rId13" w:history="1">
        <w:r w:rsidR="000D75D8" w:rsidRPr="000D75D8">
          <w:rPr>
            <w:rStyle w:val="Hypertextovodkaz"/>
          </w:rPr>
          <w:t>příloze č. 2 Aplikační garant – podprogram 1.</w:t>
        </w:r>
      </w:hyperlink>
    </w:p>
    <w:p w14:paraId="41FB59D5" w14:textId="77777777" w:rsidR="007207CB" w:rsidRPr="00D34A55" w:rsidRDefault="007207CB" w:rsidP="00A26BA0">
      <w:pPr>
        <w:rPr>
          <w:b/>
          <w:highlight w:val="yellow"/>
        </w:rPr>
      </w:pPr>
    </w:p>
    <w:p w14:paraId="62B206BC" w14:textId="77777777" w:rsidR="00894BEB" w:rsidRPr="00A26BA0" w:rsidRDefault="00894BEB" w:rsidP="0057770F">
      <w:pPr>
        <w:rPr>
          <w:b/>
          <w:color w:val="1F4E79" w:themeColor="accent1" w:themeShade="80"/>
          <w:sz w:val="28"/>
          <w:szCs w:val="28"/>
        </w:rPr>
      </w:pPr>
      <w:r w:rsidRPr="00A26BA0">
        <w:rPr>
          <w:b/>
          <w:color w:val="1F4E79" w:themeColor="accent1" w:themeShade="80"/>
          <w:sz w:val="28"/>
          <w:szCs w:val="28"/>
        </w:rPr>
        <w:t>Požadavky na způsobilost:</w:t>
      </w:r>
    </w:p>
    <w:p w14:paraId="62B949A3" w14:textId="77777777" w:rsidR="007207CB" w:rsidRDefault="00077902" w:rsidP="00077902">
      <w:r w:rsidRPr="007207CB">
        <w:rPr>
          <w:b/>
        </w:rPr>
        <w:t>Čestné prohlášení za uchazeče</w:t>
      </w:r>
      <w:r w:rsidRPr="00077902">
        <w:t xml:space="preserve"> </w:t>
      </w:r>
    </w:p>
    <w:p w14:paraId="794AEF44" w14:textId="77777777" w:rsidR="00077902" w:rsidRPr="00077902" w:rsidRDefault="00077902" w:rsidP="00077902">
      <w:pPr>
        <w:rPr>
          <w:b/>
        </w:rPr>
      </w:pPr>
      <w:r w:rsidRPr="00077902">
        <w:t>VUT Brno bude zajištěno rektorátem prostřednictvím datové schránky centrálně za všechny projekty ve lhůtě stanovené poskytovatelem. Každý další účastník musí poslat čestné prohlášení ze své datové schránky a v datovém poli</w:t>
      </w:r>
      <w:r w:rsidRPr="001B2F54">
        <w:rPr>
          <w:b/>
        </w:rPr>
        <w:t xml:space="preserve"> „Věc” </w:t>
      </w:r>
      <w:r w:rsidRPr="007207CB">
        <w:rPr>
          <w:b/>
        </w:rPr>
        <w:t xml:space="preserve">uvede </w:t>
      </w:r>
      <w:r w:rsidR="007207CB" w:rsidRPr="007207CB">
        <w:rPr>
          <w:b/>
        </w:rPr>
        <w:t>„1. veřejná soutěž programu THÉTA 2 – Prokázání způsobilosti“</w:t>
      </w:r>
      <w:r w:rsidRPr="007207CB">
        <w:rPr>
          <w:b/>
        </w:rPr>
        <w:t>. ID datov</w:t>
      </w:r>
      <w:r w:rsidRPr="00077902">
        <w:rPr>
          <w:b/>
        </w:rPr>
        <w:t>é schránky TAČR: afth9xp.</w:t>
      </w:r>
    </w:p>
    <w:p w14:paraId="4ACA09F9" w14:textId="77777777" w:rsidR="00DB59BE" w:rsidRPr="00DB59BE" w:rsidRDefault="00077902" w:rsidP="00077902">
      <w:r>
        <w:t>V případě, že další účastník nemá datovou schránku, může čestné prohlášení poslat listině jako zahraniční další účastník.</w:t>
      </w:r>
    </w:p>
    <w:p w14:paraId="43ED827A" w14:textId="77777777" w:rsidR="007207CB" w:rsidRPr="007207CB" w:rsidRDefault="007207CB" w:rsidP="0057770F">
      <w:pPr>
        <w:rPr>
          <w:b/>
        </w:rPr>
      </w:pPr>
      <w:r w:rsidRPr="007207CB">
        <w:rPr>
          <w:b/>
        </w:rPr>
        <w:t>Účetní závěr</w:t>
      </w:r>
      <w:r>
        <w:rPr>
          <w:b/>
        </w:rPr>
        <w:t>k</w:t>
      </w:r>
      <w:r w:rsidRPr="007207CB">
        <w:rPr>
          <w:b/>
        </w:rPr>
        <w:t>y</w:t>
      </w:r>
    </w:p>
    <w:p w14:paraId="09B3672D" w14:textId="77777777" w:rsidR="00BC5DC4" w:rsidRDefault="00BC5DC4" w:rsidP="0057770F">
      <w:r w:rsidRPr="007207CB">
        <w:t>VUT splňuje povinnost zveřejnit účetní závěrku tím, že vydává výroční zprávu o hospodaření.</w:t>
      </w:r>
      <w:r w:rsidR="00D32D3A" w:rsidRPr="007207CB">
        <w:t xml:space="preserve"> Způsobilost uchazeče VUT bude tedy automaticky za všechny projekty splněna. </w:t>
      </w:r>
    </w:p>
    <w:p w14:paraId="4289EF8E" w14:textId="77777777" w:rsidR="007207CB" w:rsidRPr="007207CB" w:rsidRDefault="007207CB" w:rsidP="0057770F"/>
    <w:p w14:paraId="40B7FBFE" w14:textId="77777777" w:rsidR="007207CB" w:rsidRPr="007207CB" w:rsidRDefault="007207CB" w:rsidP="0057770F">
      <w:pPr>
        <w:rPr>
          <w:b/>
        </w:rPr>
      </w:pPr>
      <w:r w:rsidRPr="007207CB">
        <w:rPr>
          <w:b/>
        </w:rPr>
        <w:lastRenderedPageBreak/>
        <w:t>Evidence skutečných majitelů</w:t>
      </w:r>
    </w:p>
    <w:p w14:paraId="6D4B1E35" w14:textId="77777777" w:rsidR="007207CB" w:rsidRDefault="007207CB" w:rsidP="0057770F">
      <w:r>
        <w:t xml:space="preserve">Uchazeči, kterým zákon tuto povinnost ukládá, musí být zapsaní v evidenci skutečných majitelů. Pokud uchazeč není zapsán v evidenci skutečných majitelů do termínu konce soutěžní lhůty, tedy do </w:t>
      </w:r>
      <w:r w:rsidRPr="007207CB">
        <w:rPr>
          <w:b/>
        </w:rPr>
        <w:t>27. 10. 2023</w:t>
      </w:r>
      <w:r>
        <w:t>, nepřijme TA ČR návrh projektu do veřejné soutěže.</w:t>
      </w:r>
    </w:p>
    <w:p w14:paraId="75D2B669" w14:textId="77777777" w:rsidR="007207CB" w:rsidRPr="007207CB" w:rsidRDefault="007207CB" w:rsidP="0057770F">
      <w:pPr>
        <w:rPr>
          <w:b/>
          <w:color w:val="FF0000"/>
        </w:rPr>
      </w:pPr>
      <w:r w:rsidRPr="007207CB">
        <w:rPr>
          <w:b/>
          <w:color w:val="FF0000"/>
        </w:rPr>
        <w:t>Náležitosti, které uchazeči dokládají prostřednictvím ISTA:</w:t>
      </w:r>
    </w:p>
    <w:p w14:paraId="2FACCE5C" w14:textId="77777777" w:rsidR="007207CB" w:rsidRPr="007207CB" w:rsidRDefault="007207CB" w:rsidP="0057770F">
      <w:pPr>
        <w:rPr>
          <w:color w:val="FF0000"/>
        </w:rPr>
      </w:pPr>
      <w:r w:rsidRPr="007207CB">
        <w:rPr>
          <w:color w:val="FF0000"/>
        </w:rPr>
        <w:t xml:space="preserve"> ● odborné předpoklady k řešení projektu – vyplňují se u klíčových osob řešitelského týmu v části “Odborný životopis”. Každý hlavní uchazeč musí mít v návrhu projektu alespoň jednu osobu v roli řešitel a každý případný další účastník musí mít alespoň jednu osobu v roli další řešitel; </w:t>
      </w:r>
    </w:p>
    <w:p w14:paraId="13756EC6" w14:textId="77777777" w:rsidR="007207CB" w:rsidRPr="007207CB" w:rsidRDefault="007207CB" w:rsidP="0057770F">
      <w:pPr>
        <w:rPr>
          <w:color w:val="FF0000"/>
        </w:rPr>
      </w:pPr>
      <w:r w:rsidRPr="007207CB">
        <w:rPr>
          <w:color w:val="FF0000"/>
        </w:rPr>
        <w:t xml:space="preserve">● oprávnění k činnosti relevantní k plánovaným činnostem v návrhu projektu – do návrhu projektu se vkládá kopie (např. oprávnění k provádění biologického zkoušení, povolení výzkumu na lidských embryonálních kmenových buňkách); </w:t>
      </w:r>
    </w:p>
    <w:p w14:paraId="1B27631F" w14:textId="77777777" w:rsidR="00E63B3F" w:rsidRDefault="007207CB" w:rsidP="0057770F">
      <w:pPr>
        <w:rPr>
          <w:color w:val="FF0000"/>
        </w:rPr>
      </w:pPr>
      <w:r w:rsidRPr="007207CB">
        <w:rPr>
          <w:color w:val="FF0000"/>
        </w:rPr>
        <w:t>● vlastnická struktura za každého uchazeče – každý uchazeč musí uvést všechny koncové fyzické osoby, které mají podíl minimálně 10 % (pokud z právní formy uchazeče vyplývá, že nemá vlastnickou strukturu, tato povinnost se na něj nevztahuje).</w:t>
      </w:r>
    </w:p>
    <w:p w14:paraId="511250C9" w14:textId="77777777" w:rsidR="007207CB" w:rsidRPr="007207CB" w:rsidRDefault="007207CB" w:rsidP="0057770F">
      <w:pPr>
        <w:rPr>
          <w:b/>
          <w:color w:val="FF0000"/>
        </w:rPr>
      </w:pPr>
    </w:p>
    <w:p w14:paraId="46B21585" w14:textId="77777777" w:rsidR="00E63B3F" w:rsidRPr="008F2375" w:rsidRDefault="00E63B3F" w:rsidP="00E63B3F">
      <w:pPr>
        <w:rPr>
          <w:b/>
          <w:color w:val="1F4E79" w:themeColor="accent1" w:themeShade="80"/>
          <w:sz w:val="28"/>
          <w:szCs w:val="28"/>
        </w:rPr>
      </w:pPr>
      <w:r w:rsidRPr="008F2375">
        <w:rPr>
          <w:b/>
          <w:color w:val="1F4E79" w:themeColor="accent1" w:themeShade="80"/>
          <w:sz w:val="28"/>
          <w:szCs w:val="28"/>
        </w:rPr>
        <w:t xml:space="preserve">Očekávané </w:t>
      </w:r>
      <w:r>
        <w:rPr>
          <w:b/>
          <w:color w:val="1F4E79" w:themeColor="accent1" w:themeShade="80"/>
          <w:sz w:val="28"/>
          <w:szCs w:val="28"/>
        </w:rPr>
        <w:t>hlavní výstupy/</w:t>
      </w:r>
      <w:r w:rsidRPr="008F2375">
        <w:rPr>
          <w:b/>
          <w:color w:val="1F4E79" w:themeColor="accent1" w:themeShade="80"/>
          <w:sz w:val="28"/>
          <w:szCs w:val="28"/>
        </w:rPr>
        <w:t xml:space="preserve">výsledky: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38"/>
        <w:gridCol w:w="5211"/>
        <w:gridCol w:w="1092"/>
        <w:gridCol w:w="950"/>
        <w:gridCol w:w="855"/>
      </w:tblGrid>
      <w:tr w:rsidR="00AA70A8" w14:paraId="02EC3BBF" w14:textId="77777777" w:rsidTr="001833AC">
        <w:trPr>
          <w:jc w:val="center"/>
        </w:trPr>
        <w:tc>
          <w:tcPr>
            <w:tcW w:w="1238" w:type="dxa"/>
            <w:vMerge w:val="restart"/>
          </w:tcPr>
          <w:p w14:paraId="38F07BBD" w14:textId="77777777" w:rsidR="00AA70A8" w:rsidRDefault="00AA70A8" w:rsidP="009A2DA9">
            <w:pPr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b/>
                <w:color w:val="1F4E79" w:themeColor="accent1" w:themeShade="80"/>
                <w:sz w:val="28"/>
                <w:szCs w:val="28"/>
              </w:rPr>
              <w:t>Kód výsledku</w:t>
            </w:r>
          </w:p>
        </w:tc>
        <w:tc>
          <w:tcPr>
            <w:tcW w:w="5211" w:type="dxa"/>
            <w:vMerge w:val="restart"/>
            <w:vAlign w:val="center"/>
          </w:tcPr>
          <w:p w14:paraId="7CC7D520" w14:textId="77777777" w:rsidR="00AA70A8" w:rsidRDefault="00AA70A8" w:rsidP="009A2DA9">
            <w:pPr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b/>
                <w:color w:val="1F4E79" w:themeColor="accent1" w:themeShade="80"/>
                <w:sz w:val="28"/>
                <w:szCs w:val="28"/>
              </w:rPr>
              <w:t>Název výsledku</w:t>
            </w:r>
          </w:p>
        </w:tc>
        <w:tc>
          <w:tcPr>
            <w:tcW w:w="2897" w:type="dxa"/>
            <w:gridSpan w:val="3"/>
          </w:tcPr>
          <w:p w14:paraId="19483A2B" w14:textId="77777777" w:rsidR="00AA70A8" w:rsidRDefault="00AA70A8" w:rsidP="009A2DA9">
            <w:pPr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b/>
                <w:color w:val="1F4E79" w:themeColor="accent1" w:themeShade="80"/>
                <w:sz w:val="28"/>
                <w:szCs w:val="28"/>
              </w:rPr>
              <w:t>Podprogram</w:t>
            </w:r>
          </w:p>
        </w:tc>
      </w:tr>
      <w:tr w:rsidR="00AA70A8" w14:paraId="31307197" w14:textId="77777777" w:rsidTr="00AA70A8">
        <w:trPr>
          <w:jc w:val="center"/>
        </w:trPr>
        <w:tc>
          <w:tcPr>
            <w:tcW w:w="1238" w:type="dxa"/>
            <w:vMerge/>
          </w:tcPr>
          <w:p w14:paraId="3BBCC3BC" w14:textId="77777777" w:rsidR="00AA70A8" w:rsidRDefault="00AA70A8" w:rsidP="009A2DA9">
            <w:pPr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5211" w:type="dxa"/>
            <w:vMerge/>
          </w:tcPr>
          <w:p w14:paraId="53ADE9BA" w14:textId="77777777" w:rsidR="00AA70A8" w:rsidRDefault="00AA70A8" w:rsidP="009A2DA9">
            <w:pPr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092" w:type="dxa"/>
          </w:tcPr>
          <w:p w14:paraId="51EC5AAA" w14:textId="77777777" w:rsidR="00AA70A8" w:rsidRDefault="00AA70A8" w:rsidP="009A2DA9">
            <w:pPr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b/>
                <w:color w:val="1F4E79" w:themeColor="accent1" w:themeShade="80"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14:paraId="735EFA48" w14:textId="77777777" w:rsidR="00AA70A8" w:rsidRDefault="00AA70A8" w:rsidP="009A2DA9">
            <w:pPr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b/>
                <w:color w:val="1F4E79" w:themeColor="accent1" w:themeShade="80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14:paraId="1DB483C9" w14:textId="77777777" w:rsidR="00AA70A8" w:rsidRDefault="00AA70A8" w:rsidP="009A2DA9">
            <w:pPr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b/>
                <w:color w:val="1F4E79" w:themeColor="accent1" w:themeShade="80"/>
                <w:sz w:val="28"/>
                <w:szCs w:val="28"/>
              </w:rPr>
              <w:t>3</w:t>
            </w:r>
          </w:p>
        </w:tc>
      </w:tr>
      <w:tr w:rsidR="00AA70A8" w14:paraId="3F009654" w14:textId="77777777" w:rsidTr="00AA70A8">
        <w:trPr>
          <w:jc w:val="center"/>
        </w:trPr>
        <w:tc>
          <w:tcPr>
            <w:tcW w:w="1238" w:type="dxa"/>
          </w:tcPr>
          <w:p w14:paraId="2A8270D8" w14:textId="77777777" w:rsidR="00AA70A8" w:rsidRPr="009A2DA9" w:rsidRDefault="00AA70A8" w:rsidP="00AA70A8">
            <w:pPr>
              <w:jc w:val="center"/>
            </w:pPr>
            <w:proofErr w:type="spellStart"/>
            <w:r w:rsidRPr="009A2DA9">
              <w:t>Fprum</w:t>
            </w:r>
            <w:proofErr w:type="spellEnd"/>
          </w:p>
        </w:tc>
        <w:tc>
          <w:tcPr>
            <w:tcW w:w="5211" w:type="dxa"/>
          </w:tcPr>
          <w:p w14:paraId="692FD0C7" w14:textId="77777777" w:rsidR="00AA70A8" w:rsidRPr="009A2DA9" w:rsidRDefault="00AA70A8" w:rsidP="00AA70A8">
            <w:r w:rsidRPr="009A2DA9">
              <w:t>Průmyslový vzor</w:t>
            </w:r>
          </w:p>
        </w:tc>
        <w:tc>
          <w:tcPr>
            <w:tcW w:w="1092" w:type="dxa"/>
          </w:tcPr>
          <w:p w14:paraId="6A6958FA" w14:textId="77777777" w:rsidR="00AA70A8" w:rsidRPr="009A2DA9" w:rsidRDefault="00AA70A8" w:rsidP="00AA70A8">
            <w:pPr>
              <w:jc w:val="center"/>
            </w:pPr>
            <w:r>
              <w:t>ANO</w:t>
            </w:r>
          </w:p>
        </w:tc>
        <w:tc>
          <w:tcPr>
            <w:tcW w:w="950" w:type="dxa"/>
          </w:tcPr>
          <w:p w14:paraId="6687643B" w14:textId="77777777" w:rsidR="00AA70A8" w:rsidRPr="009A2DA9" w:rsidRDefault="00AA70A8" w:rsidP="00AA70A8">
            <w:pPr>
              <w:jc w:val="center"/>
            </w:pPr>
            <w:r>
              <w:t>ANO</w:t>
            </w:r>
          </w:p>
        </w:tc>
        <w:tc>
          <w:tcPr>
            <w:tcW w:w="855" w:type="dxa"/>
          </w:tcPr>
          <w:p w14:paraId="731D1D79" w14:textId="77777777" w:rsidR="00AA70A8" w:rsidRPr="009A2DA9" w:rsidRDefault="00AA70A8" w:rsidP="00AA70A8">
            <w:pPr>
              <w:jc w:val="center"/>
            </w:pPr>
            <w:r>
              <w:t>ANO</w:t>
            </w:r>
          </w:p>
        </w:tc>
      </w:tr>
      <w:tr w:rsidR="00AA70A8" w14:paraId="16256709" w14:textId="77777777" w:rsidTr="00AA70A8">
        <w:trPr>
          <w:jc w:val="center"/>
        </w:trPr>
        <w:tc>
          <w:tcPr>
            <w:tcW w:w="1238" w:type="dxa"/>
          </w:tcPr>
          <w:p w14:paraId="1493F999" w14:textId="77777777" w:rsidR="00AA70A8" w:rsidRPr="009A2DA9" w:rsidRDefault="00AA70A8" w:rsidP="00AA70A8">
            <w:pPr>
              <w:jc w:val="center"/>
            </w:pPr>
            <w:proofErr w:type="spellStart"/>
            <w:r w:rsidRPr="009A2DA9">
              <w:t>Fuzit</w:t>
            </w:r>
            <w:proofErr w:type="spellEnd"/>
          </w:p>
        </w:tc>
        <w:tc>
          <w:tcPr>
            <w:tcW w:w="5211" w:type="dxa"/>
          </w:tcPr>
          <w:p w14:paraId="0BDB1756" w14:textId="77777777" w:rsidR="00AA70A8" w:rsidRPr="009A2DA9" w:rsidRDefault="00AA70A8" w:rsidP="00AA70A8">
            <w:r w:rsidRPr="009A2DA9">
              <w:t>Užitný vzor</w:t>
            </w:r>
          </w:p>
        </w:tc>
        <w:tc>
          <w:tcPr>
            <w:tcW w:w="1092" w:type="dxa"/>
          </w:tcPr>
          <w:p w14:paraId="6F1AECEC" w14:textId="77777777" w:rsidR="00AA70A8" w:rsidRPr="009A2DA9" w:rsidRDefault="00AA70A8" w:rsidP="00AA70A8">
            <w:pPr>
              <w:jc w:val="center"/>
            </w:pPr>
            <w:r>
              <w:t>ANO</w:t>
            </w:r>
          </w:p>
        </w:tc>
        <w:tc>
          <w:tcPr>
            <w:tcW w:w="950" w:type="dxa"/>
          </w:tcPr>
          <w:p w14:paraId="76FFF9CA" w14:textId="77777777" w:rsidR="00AA70A8" w:rsidRPr="009A2DA9" w:rsidRDefault="00AA70A8" w:rsidP="00AA70A8">
            <w:pPr>
              <w:jc w:val="center"/>
            </w:pPr>
            <w:r>
              <w:t>ANO</w:t>
            </w:r>
          </w:p>
        </w:tc>
        <w:tc>
          <w:tcPr>
            <w:tcW w:w="855" w:type="dxa"/>
          </w:tcPr>
          <w:p w14:paraId="551EB57D" w14:textId="77777777" w:rsidR="00AA70A8" w:rsidRPr="009A2DA9" w:rsidRDefault="00AA70A8" w:rsidP="00AA70A8">
            <w:pPr>
              <w:jc w:val="center"/>
            </w:pPr>
            <w:r>
              <w:t>ANO</w:t>
            </w:r>
          </w:p>
        </w:tc>
      </w:tr>
      <w:tr w:rsidR="00AA70A8" w14:paraId="2CF4973F" w14:textId="77777777" w:rsidTr="00AA70A8">
        <w:trPr>
          <w:jc w:val="center"/>
        </w:trPr>
        <w:tc>
          <w:tcPr>
            <w:tcW w:w="1238" w:type="dxa"/>
          </w:tcPr>
          <w:p w14:paraId="33EE89F4" w14:textId="77777777" w:rsidR="00AA70A8" w:rsidRPr="009A2DA9" w:rsidRDefault="00AA70A8" w:rsidP="00AA70A8">
            <w:pPr>
              <w:jc w:val="center"/>
            </w:pPr>
            <w:proofErr w:type="spellStart"/>
            <w:r w:rsidRPr="009A2DA9">
              <w:t>Gprot</w:t>
            </w:r>
            <w:proofErr w:type="spellEnd"/>
          </w:p>
        </w:tc>
        <w:tc>
          <w:tcPr>
            <w:tcW w:w="5211" w:type="dxa"/>
          </w:tcPr>
          <w:p w14:paraId="612F2CA1" w14:textId="77777777" w:rsidR="00AA70A8" w:rsidRPr="009A2DA9" w:rsidRDefault="00AA70A8" w:rsidP="00AA70A8">
            <w:r w:rsidRPr="009A2DA9">
              <w:t>Prototyp</w:t>
            </w:r>
          </w:p>
        </w:tc>
        <w:tc>
          <w:tcPr>
            <w:tcW w:w="1092" w:type="dxa"/>
          </w:tcPr>
          <w:p w14:paraId="69D01845" w14:textId="77777777" w:rsidR="00AA70A8" w:rsidRPr="009A2DA9" w:rsidRDefault="00AA70A8" w:rsidP="00AA70A8">
            <w:pPr>
              <w:jc w:val="center"/>
            </w:pPr>
            <w:r>
              <w:t>ANO</w:t>
            </w:r>
          </w:p>
        </w:tc>
        <w:tc>
          <w:tcPr>
            <w:tcW w:w="950" w:type="dxa"/>
          </w:tcPr>
          <w:p w14:paraId="6F3FEB9A" w14:textId="77777777" w:rsidR="00AA70A8" w:rsidRPr="009A2DA9" w:rsidRDefault="00AA70A8" w:rsidP="00AA70A8">
            <w:pPr>
              <w:jc w:val="center"/>
            </w:pPr>
            <w:r>
              <w:t>ANO</w:t>
            </w:r>
          </w:p>
        </w:tc>
        <w:tc>
          <w:tcPr>
            <w:tcW w:w="855" w:type="dxa"/>
          </w:tcPr>
          <w:p w14:paraId="023E594D" w14:textId="77777777" w:rsidR="00AA70A8" w:rsidRPr="009A2DA9" w:rsidRDefault="00AA70A8" w:rsidP="00AA70A8">
            <w:pPr>
              <w:jc w:val="center"/>
            </w:pPr>
            <w:r>
              <w:t>ANO</w:t>
            </w:r>
          </w:p>
        </w:tc>
      </w:tr>
      <w:tr w:rsidR="00AA70A8" w14:paraId="388415B8" w14:textId="77777777" w:rsidTr="00AA70A8">
        <w:trPr>
          <w:jc w:val="center"/>
        </w:trPr>
        <w:tc>
          <w:tcPr>
            <w:tcW w:w="1238" w:type="dxa"/>
          </w:tcPr>
          <w:p w14:paraId="3E5B0F2D" w14:textId="77777777" w:rsidR="00AA70A8" w:rsidRPr="009A2DA9" w:rsidRDefault="00AA70A8" w:rsidP="00AA70A8">
            <w:pPr>
              <w:jc w:val="center"/>
            </w:pPr>
            <w:proofErr w:type="spellStart"/>
            <w:r w:rsidRPr="009A2DA9">
              <w:t>Gfunk</w:t>
            </w:r>
            <w:proofErr w:type="spellEnd"/>
          </w:p>
        </w:tc>
        <w:tc>
          <w:tcPr>
            <w:tcW w:w="5211" w:type="dxa"/>
          </w:tcPr>
          <w:p w14:paraId="4662002C" w14:textId="77777777" w:rsidR="00AA70A8" w:rsidRPr="009A2DA9" w:rsidRDefault="00AA70A8" w:rsidP="00AA70A8">
            <w:r w:rsidRPr="009A2DA9">
              <w:t>Funkční vzorek</w:t>
            </w:r>
          </w:p>
        </w:tc>
        <w:tc>
          <w:tcPr>
            <w:tcW w:w="1092" w:type="dxa"/>
          </w:tcPr>
          <w:p w14:paraId="38AD751F" w14:textId="77777777" w:rsidR="00AA70A8" w:rsidRPr="009A2DA9" w:rsidRDefault="00AA70A8" w:rsidP="00AA70A8">
            <w:pPr>
              <w:jc w:val="center"/>
            </w:pPr>
            <w:r>
              <w:t>ANO</w:t>
            </w:r>
          </w:p>
        </w:tc>
        <w:tc>
          <w:tcPr>
            <w:tcW w:w="950" w:type="dxa"/>
          </w:tcPr>
          <w:p w14:paraId="7172F7A2" w14:textId="77777777" w:rsidR="00AA70A8" w:rsidRPr="009A2DA9" w:rsidRDefault="00AA70A8" w:rsidP="00AA70A8">
            <w:pPr>
              <w:jc w:val="center"/>
            </w:pPr>
            <w:r>
              <w:t>ANO</w:t>
            </w:r>
          </w:p>
        </w:tc>
        <w:tc>
          <w:tcPr>
            <w:tcW w:w="855" w:type="dxa"/>
          </w:tcPr>
          <w:p w14:paraId="6292E5BB" w14:textId="77777777" w:rsidR="00AA70A8" w:rsidRPr="009A2DA9" w:rsidRDefault="00AA70A8" w:rsidP="00AA70A8">
            <w:pPr>
              <w:jc w:val="center"/>
            </w:pPr>
            <w:r>
              <w:t>ANO</w:t>
            </w:r>
          </w:p>
        </w:tc>
      </w:tr>
      <w:tr w:rsidR="00AA70A8" w14:paraId="30FD3C94" w14:textId="77777777" w:rsidTr="00AA70A8">
        <w:trPr>
          <w:jc w:val="center"/>
        </w:trPr>
        <w:tc>
          <w:tcPr>
            <w:tcW w:w="1238" w:type="dxa"/>
          </w:tcPr>
          <w:p w14:paraId="3E420511" w14:textId="77777777" w:rsidR="00AA70A8" w:rsidRPr="009A2DA9" w:rsidRDefault="00AA70A8" w:rsidP="00AA70A8">
            <w:pPr>
              <w:jc w:val="center"/>
            </w:pPr>
            <w:proofErr w:type="spellStart"/>
            <w:r w:rsidRPr="009A2DA9">
              <w:t>Hkonc</w:t>
            </w:r>
            <w:proofErr w:type="spellEnd"/>
          </w:p>
        </w:tc>
        <w:tc>
          <w:tcPr>
            <w:tcW w:w="5211" w:type="dxa"/>
          </w:tcPr>
          <w:p w14:paraId="05C9331F" w14:textId="77777777" w:rsidR="00AA70A8" w:rsidRPr="009A2DA9" w:rsidRDefault="00AA70A8" w:rsidP="00AA70A8">
            <w:r w:rsidRPr="009A2DA9">
              <w:t>Výsledky</w:t>
            </w:r>
            <w:r>
              <w:t xml:space="preserve"> promítnuté do schválených strategických a koncepčních dokumentů </w:t>
            </w:r>
            <w:proofErr w:type="spellStart"/>
            <w:r>
              <w:t>VaVaI</w:t>
            </w:r>
            <w:proofErr w:type="spellEnd"/>
            <w:r>
              <w:t xml:space="preserve"> orgánů státní nebo veřejné správy</w:t>
            </w:r>
          </w:p>
        </w:tc>
        <w:tc>
          <w:tcPr>
            <w:tcW w:w="1092" w:type="dxa"/>
          </w:tcPr>
          <w:p w14:paraId="12BAECDA" w14:textId="77777777" w:rsidR="00AA70A8" w:rsidRPr="009A2DA9" w:rsidRDefault="00AA70A8" w:rsidP="00AA70A8">
            <w:pPr>
              <w:jc w:val="center"/>
            </w:pPr>
            <w:r>
              <w:t>ANO</w:t>
            </w:r>
          </w:p>
        </w:tc>
        <w:tc>
          <w:tcPr>
            <w:tcW w:w="950" w:type="dxa"/>
          </w:tcPr>
          <w:p w14:paraId="281D30B4" w14:textId="77777777" w:rsidR="00AA70A8" w:rsidRPr="009A2DA9" w:rsidRDefault="00AA70A8" w:rsidP="00AA70A8">
            <w:pPr>
              <w:jc w:val="center"/>
            </w:pPr>
            <w:r>
              <w:t>-</w:t>
            </w:r>
          </w:p>
        </w:tc>
        <w:tc>
          <w:tcPr>
            <w:tcW w:w="855" w:type="dxa"/>
          </w:tcPr>
          <w:p w14:paraId="02E22423" w14:textId="77777777" w:rsidR="00AA70A8" w:rsidRDefault="00AA70A8" w:rsidP="00AA70A8">
            <w:pPr>
              <w:jc w:val="center"/>
            </w:pPr>
            <w:r>
              <w:t>-</w:t>
            </w:r>
          </w:p>
          <w:p w14:paraId="389115C7" w14:textId="77777777" w:rsidR="00AA70A8" w:rsidRDefault="00AA70A8" w:rsidP="00AA70A8">
            <w:pPr>
              <w:jc w:val="center"/>
            </w:pPr>
          </w:p>
        </w:tc>
      </w:tr>
      <w:tr w:rsidR="00AA70A8" w14:paraId="02E9DAEA" w14:textId="77777777" w:rsidTr="00AA70A8">
        <w:trPr>
          <w:jc w:val="center"/>
        </w:trPr>
        <w:tc>
          <w:tcPr>
            <w:tcW w:w="1238" w:type="dxa"/>
          </w:tcPr>
          <w:p w14:paraId="7E09B69B" w14:textId="77777777" w:rsidR="00AA70A8" w:rsidRPr="009A2DA9" w:rsidRDefault="00AA70A8" w:rsidP="00AA70A8">
            <w:pPr>
              <w:jc w:val="center"/>
            </w:pPr>
            <w:proofErr w:type="spellStart"/>
            <w:r w:rsidRPr="009A2DA9">
              <w:t>Hneleg</w:t>
            </w:r>
            <w:proofErr w:type="spellEnd"/>
          </w:p>
        </w:tc>
        <w:tc>
          <w:tcPr>
            <w:tcW w:w="5211" w:type="dxa"/>
          </w:tcPr>
          <w:p w14:paraId="55AF4507" w14:textId="77777777" w:rsidR="00AA70A8" w:rsidRPr="009A2DA9" w:rsidRDefault="00AA70A8" w:rsidP="00AA70A8">
            <w:r>
              <w:t>výsledky promítnuté do směrnic a předpisů nelegislativní povahy závazných v rámci kompetence příslušného poskytovatele</w:t>
            </w:r>
          </w:p>
        </w:tc>
        <w:tc>
          <w:tcPr>
            <w:tcW w:w="1092" w:type="dxa"/>
          </w:tcPr>
          <w:p w14:paraId="3FF80CF6" w14:textId="77777777" w:rsidR="00AA70A8" w:rsidRPr="009A2DA9" w:rsidRDefault="00AA70A8" w:rsidP="00AA70A8">
            <w:pPr>
              <w:jc w:val="center"/>
            </w:pPr>
            <w:r>
              <w:t>ANO</w:t>
            </w:r>
          </w:p>
        </w:tc>
        <w:tc>
          <w:tcPr>
            <w:tcW w:w="950" w:type="dxa"/>
          </w:tcPr>
          <w:p w14:paraId="2A161707" w14:textId="77777777" w:rsidR="00AA70A8" w:rsidRPr="009A2DA9" w:rsidRDefault="00AA70A8" w:rsidP="00AA70A8">
            <w:pPr>
              <w:jc w:val="center"/>
            </w:pPr>
            <w:r>
              <w:t>-</w:t>
            </w:r>
          </w:p>
        </w:tc>
        <w:tc>
          <w:tcPr>
            <w:tcW w:w="855" w:type="dxa"/>
          </w:tcPr>
          <w:p w14:paraId="2C7E4355" w14:textId="77777777" w:rsidR="00AA70A8" w:rsidRDefault="00AA70A8" w:rsidP="00AA70A8">
            <w:pPr>
              <w:jc w:val="center"/>
            </w:pPr>
            <w:r>
              <w:t>-</w:t>
            </w:r>
          </w:p>
        </w:tc>
      </w:tr>
      <w:tr w:rsidR="00AA70A8" w14:paraId="6D9766A3" w14:textId="77777777" w:rsidTr="00AA70A8">
        <w:trPr>
          <w:jc w:val="center"/>
        </w:trPr>
        <w:tc>
          <w:tcPr>
            <w:tcW w:w="1238" w:type="dxa"/>
          </w:tcPr>
          <w:p w14:paraId="607FFDFA" w14:textId="77777777" w:rsidR="00AA70A8" w:rsidRPr="009A2DA9" w:rsidRDefault="00AA70A8" w:rsidP="00AA70A8">
            <w:pPr>
              <w:jc w:val="center"/>
            </w:pPr>
            <w:proofErr w:type="spellStart"/>
            <w:r w:rsidRPr="009A2DA9">
              <w:t>Nmap</w:t>
            </w:r>
            <w:proofErr w:type="spellEnd"/>
          </w:p>
        </w:tc>
        <w:tc>
          <w:tcPr>
            <w:tcW w:w="5211" w:type="dxa"/>
          </w:tcPr>
          <w:p w14:paraId="293F37CA" w14:textId="77777777" w:rsidR="00AA70A8" w:rsidRPr="009A2DA9" w:rsidRDefault="00AA70A8" w:rsidP="00AA70A8">
            <w:r>
              <w:t>specializovaná mapa s odborným obsahem</w:t>
            </w:r>
          </w:p>
        </w:tc>
        <w:tc>
          <w:tcPr>
            <w:tcW w:w="1092" w:type="dxa"/>
          </w:tcPr>
          <w:p w14:paraId="794C144D" w14:textId="77777777" w:rsidR="00AA70A8" w:rsidRPr="009A2DA9" w:rsidRDefault="00AA70A8" w:rsidP="00AA70A8">
            <w:pPr>
              <w:jc w:val="center"/>
            </w:pPr>
            <w:r>
              <w:t>ANO</w:t>
            </w:r>
          </w:p>
        </w:tc>
        <w:tc>
          <w:tcPr>
            <w:tcW w:w="950" w:type="dxa"/>
          </w:tcPr>
          <w:p w14:paraId="76B3B898" w14:textId="77777777" w:rsidR="00AA70A8" w:rsidRPr="009A2DA9" w:rsidRDefault="00AA70A8" w:rsidP="00AA70A8">
            <w:pPr>
              <w:jc w:val="center"/>
            </w:pPr>
            <w:r>
              <w:t>-</w:t>
            </w:r>
          </w:p>
        </w:tc>
        <w:tc>
          <w:tcPr>
            <w:tcW w:w="855" w:type="dxa"/>
          </w:tcPr>
          <w:p w14:paraId="67BD8B57" w14:textId="77777777" w:rsidR="00AA70A8" w:rsidRDefault="00AA70A8" w:rsidP="00AA70A8">
            <w:pPr>
              <w:jc w:val="center"/>
            </w:pPr>
            <w:r>
              <w:t>-</w:t>
            </w:r>
          </w:p>
        </w:tc>
      </w:tr>
      <w:tr w:rsidR="00AA70A8" w14:paraId="332DB06B" w14:textId="77777777" w:rsidTr="00AA70A8">
        <w:trPr>
          <w:jc w:val="center"/>
        </w:trPr>
        <w:tc>
          <w:tcPr>
            <w:tcW w:w="1238" w:type="dxa"/>
          </w:tcPr>
          <w:p w14:paraId="644979D7" w14:textId="77777777" w:rsidR="00AA70A8" w:rsidRPr="009A2DA9" w:rsidRDefault="00AA70A8" w:rsidP="00AA70A8">
            <w:pPr>
              <w:jc w:val="center"/>
            </w:pPr>
            <w:proofErr w:type="spellStart"/>
            <w:r w:rsidRPr="009A2DA9">
              <w:t>NmetS</w:t>
            </w:r>
            <w:proofErr w:type="spellEnd"/>
          </w:p>
        </w:tc>
        <w:tc>
          <w:tcPr>
            <w:tcW w:w="5211" w:type="dxa"/>
          </w:tcPr>
          <w:p w14:paraId="71D42C68" w14:textId="77777777" w:rsidR="00AA70A8" w:rsidRPr="009A2DA9" w:rsidRDefault="00AA70A8" w:rsidP="00AA70A8">
            <w:r>
              <w:t xml:space="preserve">metodika schválená příslušným orgánem státní správy, do jehož kompetence daná problematika spadá – povinnou přílohou je Formulář pro druh výsledku </w:t>
            </w:r>
            <w:proofErr w:type="spellStart"/>
            <w:r>
              <w:t>NmetS</w:t>
            </w:r>
            <w:proofErr w:type="spellEnd"/>
          </w:p>
        </w:tc>
        <w:tc>
          <w:tcPr>
            <w:tcW w:w="1092" w:type="dxa"/>
          </w:tcPr>
          <w:p w14:paraId="73B882EC" w14:textId="77777777" w:rsidR="00AA70A8" w:rsidRPr="009A2DA9" w:rsidRDefault="00AA70A8" w:rsidP="00AA70A8">
            <w:pPr>
              <w:jc w:val="center"/>
            </w:pPr>
            <w:r>
              <w:t>ANO</w:t>
            </w:r>
          </w:p>
        </w:tc>
        <w:tc>
          <w:tcPr>
            <w:tcW w:w="950" w:type="dxa"/>
          </w:tcPr>
          <w:p w14:paraId="08837C5E" w14:textId="77777777" w:rsidR="00AA70A8" w:rsidRPr="009A2DA9" w:rsidRDefault="00AA70A8" w:rsidP="00AA70A8">
            <w:pPr>
              <w:jc w:val="center"/>
            </w:pPr>
            <w:r>
              <w:t>-</w:t>
            </w:r>
          </w:p>
        </w:tc>
        <w:tc>
          <w:tcPr>
            <w:tcW w:w="855" w:type="dxa"/>
          </w:tcPr>
          <w:p w14:paraId="3746D387" w14:textId="77777777" w:rsidR="00AA70A8" w:rsidRDefault="00AA70A8" w:rsidP="00AA70A8">
            <w:pPr>
              <w:jc w:val="center"/>
            </w:pPr>
            <w:r>
              <w:t>-</w:t>
            </w:r>
          </w:p>
        </w:tc>
      </w:tr>
      <w:tr w:rsidR="00AA70A8" w14:paraId="673B93B9" w14:textId="77777777" w:rsidTr="00AA70A8">
        <w:trPr>
          <w:jc w:val="center"/>
        </w:trPr>
        <w:tc>
          <w:tcPr>
            <w:tcW w:w="1238" w:type="dxa"/>
          </w:tcPr>
          <w:p w14:paraId="7AD5D28F" w14:textId="77777777" w:rsidR="00AA70A8" w:rsidRPr="009A2DA9" w:rsidRDefault="00AA70A8" w:rsidP="00AA70A8">
            <w:pPr>
              <w:jc w:val="center"/>
            </w:pPr>
            <w:proofErr w:type="spellStart"/>
            <w:r w:rsidRPr="009A2DA9">
              <w:t>NmetC</w:t>
            </w:r>
            <w:proofErr w:type="spellEnd"/>
          </w:p>
        </w:tc>
        <w:tc>
          <w:tcPr>
            <w:tcW w:w="5211" w:type="dxa"/>
          </w:tcPr>
          <w:p w14:paraId="77FBA20B" w14:textId="77777777" w:rsidR="00AA70A8" w:rsidRPr="009A2DA9" w:rsidRDefault="00AA70A8" w:rsidP="00AA70A8">
            <w:r>
              <w:t>metodiky certifikované oprávněným orgánem</w:t>
            </w:r>
          </w:p>
        </w:tc>
        <w:tc>
          <w:tcPr>
            <w:tcW w:w="1092" w:type="dxa"/>
          </w:tcPr>
          <w:p w14:paraId="0B8487FF" w14:textId="77777777" w:rsidR="00AA70A8" w:rsidRPr="009A2DA9" w:rsidRDefault="00AA70A8" w:rsidP="00AA70A8">
            <w:pPr>
              <w:jc w:val="center"/>
            </w:pPr>
            <w:r>
              <w:t>ANO</w:t>
            </w:r>
          </w:p>
        </w:tc>
        <w:tc>
          <w:tcPr>
            <w:tcW w:w="950" w:type="dxa"/>
          </w:tcPr>
          <w:p w14:paraId="7661E8D2" w14:textId="77777777" w:rsidR="00AA70A8" w:rsidRPr="009A2DA9" w:rsidRDefault="00AA70A8" w:rsidP="00AA70A8">
            <w:pPr>
              <w:jc w:val="center"/>
            </w:pPr>
            <w:r>
              <w:t>-</w:t>
            </w:r>
          </w:p>
        </w:tc>
        <w:tc>
          <w:tcPr>
            <w:tcW w:w="855" w:type="dxa"/>
          </w:tcPr>
          <w:p w14:paraId="252DC06B" w14:textId="77777777" w:rsidR="00AA70A8" w:rsidRDefault="00AA70A8" w:rsidP="00AA70A8">
            <w:pPr>
              <w:jc w:val="center"/>
            </w:pPr>
            <w:r>
              <w:t>-</w:t>
            </w:r>
          </w:p>
        </w:tc>
      </w:tr>
      <w:tr w:rsidR="00AA70A8" w14:paraId="207E1456" w14:textId="77777777" w:rsidTr="00AA70A8">
        <w:trPr>
          <w:jc w:val="center"/>
        </w:trPr>
        <w:tc>
          <w:tcPr>
            <w:tcW w:w="1238" w:type="dxa"/>
          </w:tcPr>
          <w:p w14:paraId="739F0BA7" w14:textId="77777777" w:rsidR="00AA70A8" w:rsidRPr="009A2DA9" w:rsidRDefault="00AA70A8" w:rsidP="00AA70A8">
            <w:pPr>
              <w:jc w:val="center"/>
            </w:pPr>
            <w:proofErr w:type="spellStart"/>
            <w:r w:rsidRPr="009A2DA9">
              <w:t>NmetA</w:t>
            </w:r>
            <w:proofErr w:type="spellEnd"/>
          </w:p>
        </w:tc>
        <w:tc>
          <w:tcPr>
            <w:tcW w:w="5211" w:type="dxa"/>
          </w:tcPr>
          <w:p w14:paraId="378EF1A4" w14:textId="77777777" w:rsidR="00AA70A8" w:rsidRPr="009A2DA9" w:rsidRDefault="00AA70A8" w:rsidP="00AA70A8">
            <w:r>
              <w:t>metodiky a postupy akreditované oprávněným orgánem</w:t>
            </w:r>
          </w:p>
        </w:tc>
        <w:tc>
          <w:tcPr>
            <w:tcW w:w="1092" w:type="dxa"/>
          </w:tcPr>
          <w:p w14:paraId="01D8F0AE" w14:textId="77777777" w:rsidR="00AA70A8" w:rsidRPr="009A2DA9" w:rsidRDefault="00AA70A8" w:rsidP="00AA70A8">
            <w:pPr>
              <w:jc w:val="center"/>
            </w:pPr>
            <w:r>
              <w:t>ANO</w:t>
            </w:r>
          </w:p>
        </w:tc>
        <w:tc>
          <w:tcPr>
            <w:tcW w:w="950" w:type="dxa"/>
          </w:tcPr>
          <w:p w14:paraId="7A95FD5A" w14:textId="77777777" w:rsidR="00AA70A8" w:rsidRPr="009A2DA9" w:rsidRDefault="00AA70A8" w:rsidP="00AA70A8">
            <w:pPr>
              <w:jc w:val="center"/>
            </w:pPr>
            <w:r>
              <w:t>-</w:t>
            </w:r>
          </w:p>
        </w:tc>
        <w:tc>
          <w:tcPr>
            <w:tcW w:w="855" w:type="dxa"/>
          </w:tcPr>
          <w:p w14:paraId="6725641A" w14:textId="77777777" w:rsidR="00AA70A8" w:rsidRDefault="00AA70A8" w:rsidP="00AA70A8">
            <w:pPr>
              <w:jc w:val="center"/>
            </w:pPr>
            <w:r>
              <w:t>-</w:t>
            </w:r>
          </w:p>
        </w:tc>
      </w:tr>
      <w:tr w:rsidR="00AA70A8" w14:paraId="33E09C69" w14:textId="77777777" w:rsidTr="00AA70A8">
        <w:trPr>
          <w:jc w:val="center"/>
        </w:trPr>
        <w:tc>
          <w:tcPr>
            <w:tcW w:w="1238" w:type="dxa"/>
          </w:tcPr>
          <w:p w14:paraId="1FDEE762" w14:textId="77777777" w:rsidR="00AA70A8" w:rsidRPr="009A2DA9" w:rsidRDefault="00AA70A8" w:rsidP="00AA70A8">
            <w:pPr>
              <w:jc w:val="center"/>
            </w:pPr>
            <w:r w:rsidRPr="009A2DA9">
              <w:t>P</w:t>
            </w:r>
          </w:p>
        </w:tc>
        <w:tc>
          <w:tcPr>
            <w:tcW w:w="5211" w:type="dxa"/>
          </w:tcPr>
          <w:p w14:paraId="455F60A9" w14:textId="77777777" w:rsidR="00AA70A8" w:rsidRPr="009A2DA9" w:rsidRDefault="00AA70A8" w:rsidP="00AA70A8">
            <w:r>
              <w:t>patent</w:t>
            </w:r>
          </w:p>
        </w:tc>
        <w:tc>
          <w:tcPr>
            <w:tcW w:w="1092" w:type="dxa"/>
          </w:tcPr>
          <w:p w14:paraId="770C06DD" w14:textId="77777777" w:rsidR="00AA70A8" w:rsidRPr="009A2DA9" w:rsidRDefault="00AA70A8" w:rsidP="00AA70A8">
            <w:pPr>
              <w:jc w:val="center"/>
            </w:pPr>
            <w:r>
              <w:t>ANO</w:t>
            </w:r>
          </w:p>
        </w:tc>
        <w:tc>
          <w:tcPr>
            <w:tcW w:w="950" w:type="dxa"/>
          </w:tcPr>
          <w:p w14:paraId="23703377" w14:textId="77777777" w:rsidR="00AA70A8" w:rsidRPr="009A2DA9" w:rsidRDefault="00AA70A8" w:rsidP="00AA70A8">
            <w:pPr>
              <w:jc w:val="center"/>
            </w:pPr>
            <w:r>
              <w:t>ANO</w:t>
            </w:r>
          </w:p>
        </w:tc>
        <w:tc>
          <w:tcPr>
            <w:tcW w:w="855" w:type="dxa"/>
          </w:tcPr>
          <w:p w14:paraId="2273145B" w14:textId="77777777" w:rsidR="00AA70A8" w:rsidRPr="009A2DA9" w:rsidRDefault="00AA70A8" w:rsidP="00AA70A8">
            <w:pPr>
              <w:jc w:val="center"/>
            </w:pPr>
            <w:r>
              <w:t>ANO</w:t>
            </w:r>
          </w:p>
        </w:tc>
      </w:tr>
      <w:tr w:rsidR="00AA70A8" w14:paraId="34853390" w14:textId="77777777" w:rsidTr="00AA70A8">
        <w:trPr>
          <w:jc w:val="center"/>
        </w:trPr>
        <w:tc>
          <w:tcPr>
            <w:tcW w:w="1238" w:type="dxa"/>
          </w:tcPr>
          <w:p w14:paraId="4ADD2835" w14:textId="77777777" w:rsidR="00AA70A8" w:rsidRPr="009A2DA9" w:rsidRDefault="00AA70A8" w:rsidP="00AA70A8">
            <w:pPr>
              <w:jc w:val="center"/>
            </w:pPr>
            <w:r w:rsidRPr="009A2DA9">
              <w:t>R</w:t>
            </w:r>
          </w:p>
        </w:tc>
        <w:tc>
          <w:tcPr>
            <w:tcW w:w="5211" w:type="dxa"/>
          </w:tcPr>
          <w:p w14:paraId="215C5EB6" w14:textId="77777777" w:rsidR="00AA70A8" w:rsidRPr="009A2DA9" w:rsidRDefault="00AA70A8" w:rsidP="00AA70A8">
            <w:r>
              <w:t>software</w:t>
            </w:r>
          </w:p>
        </w:tc>
        <w:tc>
          <w:tcPr>
            <w:tcW w:w="1092" w:type="dxa"/>
          </w:tcPr>
          <w:p w14:paraId="6FAA1D58" w14:textId="77777777" w:rsidR="00AA70A8" w:rsidRPr="009A2DA9" w:rsidRDefault="00AA70A8" w:rsidP="00AA70A8">
            <w:pPr>
              <w:jc w:val="center"/>
            </w:pPr>
            <w:r>
              <w:t>ANO</w:t>
            </w:r>
          </w:p>
        </w:tc>
        <w:tc>
          <w:tcPr>
            <w:tcW w:w="950" w:type="dxa"/>
          </w:tcPr>
          <w:p w14:paraId="6C349FC5" w14:textId="77777777" w:rsidR="00AA70A8" w:rsidRPr="009A2DA9" w:rsidRDefault="00AA70A8" w:rsidP="00AA70A8">
            <w:pPr>
              <w:jc w:val="center"/>
            </w:pPr>
            <w:r>
              <w:t>ANO</w:t>
            </w:r>
          </w:p>
        </w:tc>
        <w:tc>
          <w:tcPr>
            <w:tcW w:w="855" w:type="dxa"/>
          </w:tcPr>
          <w:p w14:paraId="39E22A80" w14:textId="77777777" w:rsidR="00AA70A8" w:rsidRPr="009A2DA9" w:rsidRDefault="00AA70A8" w:rsidP="00AA70A8">
            <w:pPr>
              <w:jc w:val="center"/>
            </w:pPr>
            <w:r>
              <w:t>ANO</w:t>
            </w:r>
          </w:p>
        </w:tc>
      </w:tr>
      <w:tr w:rsidR="00AA70A8" w14:paraId="67191BFD" w14:textId="77777777" w:rsidTr="00AA70A8">
        <w:trPr>
          <w:jc w:val="center"/>
        </w:trPr>
        <w:tc>
          <w:tcPr>
            <w:tcW w:w="1238" w:type="dxa"/>
          </w:tcPr>
          <w:p w14:paraId="7517E497" w14:textId="77777777" w:rsidR="00AA70A8" w:rsidRPr="009A2DA9" w:rsidRDefault="00AA70A8" w:rsidP="00AA70A8">
            <w:pPr>
              <w:jc w:val="center"/>
            </w:pPr>
            <w:proofErr w:type="spellStart"/>
            <w:r w:rsidRPr="009A2DA9">
              <w:t>Zpolop</w:t>
            </w:r>
            <w:proofErr w:type="spellEnd"/>
          </w:p>
        </w:tc>
        <w:tc>
          <w:tcPr>
            <w:tcW w:w="5211" w:type="dxa"/>
          </w:tcPr>
          <w:p w14:paraId="30A9676C" w14:textId="77777777" w:rsidR="00AA70A8" w:rsidRPr="009A2DA9" w:rsidRDefault="00AA70A8" w:rsidP="00AA70A8">
            <w:r>
              <w:t>poloprovoz</w:t>
            </w:r>
          </w:p>
        </w:tc>
        <w:tc>
          <w:tcPr>
            <w:tcW w:w="1092" w:type="dxa"/>
          </w:tcPr>
          <w:p w14:paraId="6DF169BB" w14:textId="77777777" w:rsidR="00AA70A8" w:rsidRPr="009A2DA9" w:rsidRDefault="00AA70A8" w:rsidP="00AA70A8">
            <w:pPr>
              <w:jc w:val="center"/>
            </w:pPr>
            <w:r>
              <w:t>ANO</w:t>
            </w:r>
          </w:p>
        </w:tc>
        <w:tc>
          <w:tcPr>
            <w:tcW w:w="950" w:type="dxa"/>
          </w:tcPr>
          <w:p w14:paraId="6172206B" w14:textId="77777777" w:rsidR="00AA70A8" w:rsidRPr="009A2DA9" w:rsidRDefault="00AA70A8" w:rsidP="00AA70A8">
            <w:pPr>
              <w:jc w:val="center"/>
            </w:pPr>
            <w:r>
              <w:t>ANO</w:t>
            </w:r>
          </w:p>
        </w:tc>
        <w:tc>
          <w:tcPr>
            <w:tcW w:w="855" w:type="dxa"/>
          </w:tcPr>
          <w:p w14:paraId="7252A1E1" w14:textId="77777777" w:rsidR="00AA70A8" w:rsidRPr="009A2DA9" w:rsidRDefault="00AA70A8" w:rsidP="00AA70A8">
            <w:pPr>
              <w:jc w:val="center"/>
            </w:pPr>
            <w:r>
              <w:t>ANO</w:t>
            </w:r>
          </w:p>
        </w:tc>
      </w:tr>
      <w:tr w:rsidR="00AA70A8" w14:paraId="3C509629" w14:textId="77777777" w:rsidTr="00AA70A8">
        <w:trPr>
          <w:jc w:val="center"/>
        </w:trPr>
        <w:tc>
          <w:tcPr>
            <w:tcW w:w="1238" w:type="dxa"/>
          </w:tcPr>
          <w:p w14:paraId="49539E70" w14:textId="77777777" w:rsidR="00AA70A8" w:rsidRPr="009A2DA9" w:rsidRDefault="00AA70A8" w:rsidP="00AA70A8">
            <w:pPr>
              <w:jc w:val="center"/>
            </w:pPr>
            <w:proofErr w:type="spellStart"/>
            <w:r w:rsidRPr="009A2DA9">
              <w:t>Ztech</w:t>
            </w:r>
            <w:proofErr w:type="spellEnd"/>
          </w:p>
        </w:tc>
        <w:tc>
          <w:tcPr>
            <w:tcW w:w="5211" w:type="dxa"/>
          </w:tcPr>
          <w:p w14:paraId="27F20D40" w14:textId="77777777" w:rsidR="00AA70A8" w:rsidRPr="009A2DA9" w:rsidRDefault="00AA70A8" w:rsidP="00AA70A8">
            <w:r>
              <w:t>Ověřená technologie</w:t>
            </w:r>
          </w:p>
        </w:tc>
        <w:tc>
          <w:tcPr>
            <w:tcW w:w="1092" w:type="dxa"/>
          </w:tcPr>
          <w:p w14:paraId="0BF30C92" w14:textId="77777777" w:rsidR="00AA70A8" w:rsidRPr="009A2DA9" w:rsidRDefault="00AA70A8" w:rsidP="00AA70A8">
            <w:pPr>
              <w:jc w:val="center"/>
            </w:pPr>
            <w:r>
              <w:t>ANO</w:t>
            </w:r>
          </w:p>
        </w:tc>
        <w:tc>
          <w:tcPr>
            <w:tcW w:w="950" w:type="dxa"/>
          </w:tcPr>
          <w:p w14:paraId="0635F8FC" w14:textId="77777777" w:rsidR="00AA70A8" w:rsidRPr="009A2DA9" w:rsidRDefault="00AA70A8" w:rsidP="00AA70A8">
            <w:pPr>
              <w:jc w:val="center"/>
            </w:pPr>
            <w:r>
              <w:t>ANO</w:t>
            </w:r>
          </w:p>
        </w:tc>
        <w:tc>
          <w:tcPr>
            <w:tcW w:w="855" w:type="dxa"/>
          </w:tcPr>
          <w:p w14:paraId="5F9D9B02" w14:textId="77777777" w:rsidR="00AA70A8" w:rsidRPr="009A2DA9" w:rsidRDefault="00AA70A8" w:rsidP="00AA70A8">
            <w:pPr>
              <w:jc w:val="center"/>
            </w:pPr>
            <w:r>
              <w:t>ANO</w:t>
            </w:r>
          </w:p>
        </w:tc>
      </w:tr>
      <w:tr w:rsidR="00AA70A8" w14:paraId="33CBD698" w14:textId="77777777" w:rsidTr="00AA70A8">
        <w:trPr>
          <w:jc w:val="center"/>
        </w:trPr>
        <w:tc>
          <w:tcPr>
            <w:tcW w:w="1238" w:type="dxa"/>
          </w:tcPr>
          <w:p w14:paraId="7A9D7516" w14:textId="77777777" w:rsidR="00AA70A8" w:rsidRPr="009A2DA9" w:rsidRDefault="00AA70A8" w:rsidP="00AA70A8">
            <w:pPr>
              <w:jc w:val="center"/>
            </w:pPr>
            <w:r w:rsidRPr="009A2DA9">
              <w:t>O</w:t>
            </w:r>
          </w:p>
        </w:tc>
        <w:tc>
          <w:tcPr>
            <w:tcW w:w="5211" w:type="dxa"/>
          </w:tcPr>
          <w:p w14:paraId="05A1D72A" w14:textId="77777777" w:rsidR="00AA70A8" w:rsidRPr="009A2DA9" w:rsidRDefault="00AA70A8" w:rsidP="00AA70A8">
            <w:r>
              <w:t>Ostatní výsledky</w:t>
            </w:r>
          </w:p>
        </w:tc>
        <w:tc>
          <w:tcPr>
            <w:tcW w:w="1092" w:type="dxa"/>
          </w:tcPr>
          <w:p w14:paraId="2CC817A3" w14:textId="77777777" w:rsidR="00AA70A8" w:rsidRPr="009A2DA9" w:rsidRDefault="00AA70A8" w:rsidP="00AA70A8">
            <w:pPr>
              <w:jc w:val="center"/>
            </w:pPr>
            <w:r>
              <w:t>ANO</w:t>
            </w:r>
          </w:p>
        </w:tc>
        <w:tc>
          <w:tcPr>
            <w:tcW w:w="950" w:type="dxa"/>
          </w:tcPr>
          <w:p w14:paraId="133F9698" w14:textId="77777777" w:rsidR="00AA70A8" w:rsidRPr="009A2DA9" w:rsidRDefault="00AA70A8" w:rsidP="00AA70A8">
            <w:pPr>
              <w:jc w:val="center"/>
            </w:pPr>
            <w:r>
              <w:t>ANO</w:t>
            </w:r>
          </w:p>
        </w:tc>
        <w:tc>
          <w:tcPr>
            <w:tcW w:w="855" w:type="dxa"/>
          </w:tcPr>
          <w:p w14:paraId="0980F88C" w14:textId="77777777" w:rsidR="00AA70A8" w:rsidRDefault="00AA70A8" w:rsidP="00AA70A8">
            <w:pPr>
              <w:jc w:val="center"/>
            </w:pPr>
            <w:r>
              <w:t>ANO</w:t>
            </w:r>
          </w:p>
        </w:tc>
      </w:tr>
    </w:tbl>
    <w:p w14:paraId="2DF466DA" w14:textId="77777777" w:rsidR="009A2DA9" w:rsidRDefault="009A2DA9" w:rsidP="0057770F">
      <w:pPr>
        <w:rPr>
          <w:b/>
          <w:color w:val="1F4E79" w:themeColor="accent1" w:themeShade="80"/>
          <w:sz w:val="28"/>
          <w:szCs w:val="28"/>
        </w:rPr>
      </w:pPr>
    </w:p>
    <w:p w14:paraId="141A86AD" w14:textId="77777777" w:rsidR="00DA72CD" w:rsidRDefault="00DA72CD" w:rsidP="0057770F">
      <w:pPr>
        <w:rPr>
          <w:b/>
          <w:color w:val="1F4E79" w:themeColor="accent1" w:themeShade="80"/>
          <w:sz w:val="28"/>
          <w:szCs w:val="28"/>
        </w:rPr>
      </w:pPr>
    </w:p>
    <w:p w14:paraId="58AD4747" w14:textId="77777777" w:rsidR="003206E0" w:rsidRDefault="003206E0" w:rsidP="0057770F">
      <w:pPr>
        <w:rPr>
          <w:b/>
          <w:color w:val="1F4E79" w:themeColor="accent1" w:themeShade="80"/>
          <w:sz w:val="28"/>
          <w:szCs w:val="28"/>
        </w:rPr>
      </w:pPr>
      <w:r w:rsidRPr="008F2375">
        <w:rPr>
          <w:b/>
          <w:color w:val="1F4E79" w:themeColor="accent1" w:themeShade="80"/>
          <w:sz w:val="28"/>
          <w:szCs w:val="28"/>
        </w:rPr>
        <w:lastRenderedPageBreak/>
        <w:t>Povinné přílohy:</w:t>
      </w:r>
    </w:p>
    <w:p w14:paraId="0A9463FC" w14:textId="77777777" w:rsidR="001B2F54" w:rsidRPr="001B2F54" w:rsidRDefault="001B2F54" w:rsidP="001B2F54">
      <w:pPr>
        <w:rPr>
          <w:b/>
        </w:rPr>
      </w:pPr>
      <w:r w:rsidRPr="001B2F54">
        <w:rPr>
          <w:b/>
        </w:rPr>
        <w:t xml:space="preserve">Podprogram 1 </w:t>
      </w:r>
    </w:p>
    <w:p w14:paraId="79CC7151" w14:textId="77777777" w:rsidR="001B2F54" w:rsidRPr="00F84CD2" w:rsidRDefault="001B2F54" w:rsidP="00AA70A8">
      <w:r w:rsidRPr="00F84CD2">
        <w:t>Uchazeči musí doložit povinnou přílohu ke každému plánovanému hlavnímu výsledku druhu:</w:t>
      </w:r>
    </w:p>
    <w:p w14:paraId="3324282A" w14:textId="77777777" w:rsidR="00AA70A8" w:rsidRDefault="00AA70A8" w:rsidP="00AA70A8">
      <w:pPr>
        <w:pStyle w:val="Odstavecseseznamem"/>
        <w:numPr>
          <w:ilvl w:val="0"/>
          <w:numId w:val="44"/>
        </w:numPr>
      </w:pPr>
      <w:proofErr w:type="spellStart"/>
      <w:r>
        <w:t>NmetS</w:t>
      </w:r>
      <w:proofErr w:type="spellEnd"/>
      <w:r>
        <w:t xml:space="preserve">, </w:t>
      </w:r>
      <w:proofErr w:type="spellStart"/>
      <w:r>
        <w:t>NmetC</w:t>
      </w:r>
      <w:proofErr w:type="spellEnd"/>
      <w:r>
        <w:t xml:space="preserve">, </w:t>
      </w:r>
      <w:proofErr w:type="spellStart"/>
      <w:r>
        <w:t>NmetA</w:t>
      </w:r>
      <w:proofErr w:type="spellEnd"/>
      <w:r>
        <w:t xml:space="preserve"> – Formulář pro druh výsledku </w:t>
      </w:r>
      <w:proofErr w:type="spellStart"/>
      <w:r>
        <w:t>Nmet</w:t>
      </w:r>
      <w:proofErr w:type="spellEnd"/>
      <w:r>
        <w:t xml:space="preserve">; </w:t>
      </w:r>
    </w:p>
    <w:p w14:paraId="0D2590ED" w14:textId="77777777" w:rsidR="00AA70A8" w:rsidRPr="00F84CD2" w:rsidRDefault="00AA70A8" w:rsidP="00AA70A8">
      <w:pPr>
        <w:pStyle w:val="Odstavecseseznamem"/>
        <w:numPr>
          <w:ilvl w:val="0"/>
          <w:numId w:val="44"/>
        </w:numPr>
      </w:pPr>
      <w:r>
        <w:t>P – patentová rešerše</w:t>
      </w:r>
    </w:p>
    <w:p w14:paraId="75359A61" w14:textId="77777777" w:rsidR="001B2F54" w:rsidRPr="001B2F54" w:rsidRDefault="001B2F54" w:rsidP="001B2F54">
      <w:pPr>
        <w:rPr>
          <w:b/>
        </w:rPr>
      </w:pPr>
      <w:r w:rsidRPr="001B2F54">
        <w:rPr>
          <w:b/>
        </w:rPr>
        <w:t>Podprogram 2</w:t>
      </w:r>
    </w:p>
    <w:p w14:paraId="2470639E" w14:textId="77777777" w:rsidR="001B2F54" w:rsidRPr="00F84CD2" w:rsidRDefault="001B2F54" w:rsidP="00AA70A8">
      <w:r w:rsidRPr="00F84CD2">
        <w:t>Uchazeči musí doložit povinnou přílohu ke každému plánovanému hlavnímu výstupu/výsledku následovně:</w:t>
      </w:r>
    </w:p>
    <w:p w14:paraId="06AA58ED" w14:textId="77777777" w:rsidR="00AA70A8" w:rsidRPr="00AA70A8" w:rsidRDefault="00AA70A8" w:rsidP="00AA70A8">
      <w:pPr>
        <w:pStyle w:val="Odstavecseseznamem"/>
        <w:numPr>
          <w:ilvl w:val="0"/>
          <w:numId w:val="45"/>
        </w:numPr>
        <w:rPr>
          <w:b/>
        </w:rPr>
      </w:pPr>
      <w:proofErr w:type="spellStart"/>
      <w:r>
        <w:t>NmetS</w:t>
      </w:r>
      <w:proofErr w:type="spellEnd"/>
      <w:r>
        <w:t xml:space="preserve">, </w:t>
      </w:r>
      <w:proofErr w:type="spellStart"/>
      <w:r>
        <w:t>NmetC</w:t>
      </w:r>
      <w:proofErr w:type="spellEnd"/>
      <w:r>
        <w:t xml:space="preserve">, </w:t>
      </w:r>
      <w:proofErr w:type="spellStart"/>
      <w:proofErr w:type="gramStart"/>
      <w:r>
        <w:t>NmetA</w:t>
      </w:r>
      <w:proofErr w:type="spellEnd"/>
      <w:r>
        <w:t xml:space="preserve"> - pouze</w:t>
      </w:r>
      <w:proofErr w:type="gramEnd"/>
      <w:r>
        <w:t xml:space="preserve"> Formulář pro druh výsledku </w:t>
      </w:r>
      <w:proofErr w:type="spellStart"/>
      <w:r>
        <w:t>Nmet</w:t>
      </w:r>
      <w:proofErr w:type="spellEnd"/>
      <w:r>
        <w:t xml:space="preserve">; </w:t>
      </w:r>
    </w:p>
    <w:p w14:paraId="50223C3C" w14:textId="77777777" w:rsidR="00AA70A8" w:rsidRPr="00AA70A8" w:rsidRDefault="00AA70A8" w:rsidP="00AA70A8">
      <w:pPr>
        <w:pStyle w:val="Odstavecseseznamem"/>
        <w:numPr>
          <w:ilvl w:val="0"/>
          <w:numId w:val="45"/>
        </w:numPr>
        <w:rPr>
          <w:b/>
        </w:rPr>
      </w:pPr>
      <w:r>
        <w:t xml:space="preserve">O – pouze odhad potenciálního využití; </w:t>
      </w:r>
    </w:p>
    <w:p w14:paraId="4C6DB638" w14:textId="77777777" w:rsidR="00AA70A8" w:rsidRPr="00AA70A8" w:rsidRDefault="00AA70A8" w:rsidP="00AA70A8">
      <w:pPr>
        <w:pStyle w:val="Odstavecseseznamem"/>
        <w:numPr>
          <w:ilvl w:val="0"/>
          <w:numId w:val="45"/>
        </w:numPr>
        <w:rPr>
          <w:b/>
        </w:rPr>
      </w:pPr>
      <w:r>
        <w:t xml:space="preserve">P – patentová rešerše a průzkum trhu; </w:t>
      </w:r>
    </w:p>
    <w:p w14:paraId="27F455D1" w14:textId="77777777" w:rsidR="00AA70A8" w:rsidRPr="00AA70A8" w:rsidRDefault="00AA70A8" w:rsidP="00AA70A8">
      <w:pPr>
        <w:pStyle w:val="Odstavecseseznamem"/>
        <w:numPr>
          <w:ilvl w:val="0"/>
          <w:numId w:val="45"/>
        </w:numPr>
        <w:rPr>
          <w:b/>
        </w:rPr>
      </w:pPr>
      <w:proofErr w:type="spellStart"/>
      <w:r>
        <w:t>Fprum</w:t>
      </w:r>
      <w:proofErr w:type="spellEnd"/>
      <w:r>
        <w:t xml:space="preserve">, </w:t>
      </w:r>
      <w:proofErr w:type="spellStart"/>
      <w:r>
        <w:t>Fuzit</w:t>
      </w:r>
      <w:proofErr w:type="spellEnd"/>
      <w:r>
        <w:t xml:space="preserve">, </w:t>
      </w:r>
      <w:proofErr w:type="spellStart"/>
      <w:r>
        <w:t>Gprot</w:t>
      </w:r>
      <w:proofErr w:type="spellEnd"/>
      <w:r>
        <w:t xml:space="preserve">, </w:t>
      </w:r>
      <w:proofErr w:type="spellStart"/>
      <w:r>
        <w:t>Gfunk</w:t>
      </w:r>
      <w:proofErr w:type="spellEnd"/>
      <w:r>
        <w:t xml:space="preserve">, R, </w:t>
      </w:r>
      <w:proofErr w:type="spellStart"/>
      <w:r>
        <w:t>Zpolop</w:t>
      </w:r>
      <w:proofErr w:type="spellEnd"/>
      <w:r>
        <w:t xml:space="preserve">, </w:t>
      </w:r>
      <w:proofErr w:type="spellStart"/>
      <w:proofErr w:type="gramStart"/>
      <w:r>
        <w:t>Ztech</w:t>
      </w:r>
      <w:proofErr w:type="spellEnd"/>
      <w:r>
        <w:t xml:space="preserve"> - pouze</w:t>
      </w:r>
      <w:proofErr w:type="gramEnd"/>
      <w:r>
        <w:t xml:space="preserve"> průzkum trhu.</w:t>
      </w:r>
    </w:p>
    <w:p w14:paraId="638CF3BD" w14:textId="77777777" w:rsidR="00AA70A8" w:rsidRPr="00AA70A8" w:rsidRDefault="00AA70A8" w:rsidP="00AA70A8">
      <w:pPr>
        <w:rPr>
          <w:b/>
        </w:rPr>
      </w:pPr>
      <w:r w:rsidRPr="00AA70A8">
        <w:rPr>
          <w:b/>
        </w:rPr>
        <w:t xml:space="preserve">Podprogram </w:t>
      </w:r>
      <w:r>
        <w:rPr>
          <w:b/>
        </w:rPr>
        <w:t>3</w:t>
      </w:r>
    </w:p>
    <w:p w14:paraId="316F7812" w14:textId="77777777" w:rsidR="00AA70A8" w:rsidRPr="00F84CD2" w:rsidRDefault="00AA70A8" w:rsidP="00AA70A8">
      <w:r w:rsidRPr="00F84CD2">
        <w:t>Uchazeči musí doložit povinnou přílohu ke každému plánovanému hlavnímu výstupu/výsledku následovně:</w:t>
      </w:r>
    </w:p>
    <w:p w14:paraId="1C5E1F49" w14:textId="77777777" w:rsidR="00AA70A8" w:rsidRPr="00AA70A8" w:rsidRDefault="00AA70A8" w:rsidP="00AA70A8">
      <w:pPr>
        <w:pStyle w:val="Odstavecseseznamem"/>
        <w:numPr>
          <w:ilvl w:val="0"/>
          <w:numId w:val="46"/>
        </w:numPr>
        <w:rPr>
          <w:b/>
        </w:rPr>
      </w:pPr>
      <w:proofErr w:type="spellStart"/>
      <w:r>
        <w:t>NmetS</w:t>
      </w:r>
      <w:proofErr w:type="spellEnd"/>
      <w:r>
        <w:t xml:space="preserve">, </w:t>
      </w:r>
      <w:proofErr w:type="spellStart"/>
      <w:r>
        <w:t>NmetC</w:t>
      </w:r>
      <w:proofErr w:type="spellEnd"/>
      <w:r>
        <w:t xml:space="preserve">, </w:t>
      </w:r>
      <w:proofErr w:type="spellStart"/>
      <w:r>
        <w:t>NmetA</w:t>
      </w:r>
      <w:proofErr w:type="spellEnd"/>
      <w:r>
        <w:t xml:space="preserve"> – Formulář pro druh výsledku </w:t>
      </w:r>
      <w:proofErr w:type="spellStart"/>
      <w:r>
        <w:t>Nmet</w:t>
      </w:r>
      <w:proofErr w:type="spellEnd"/>
      <w:r>
        <w:t xml:space="preserve">; </w:t>
      </w:r>
    </w:p>
    <w:p w14:paraId="61E2F7B4" w14:textId="77777777" w:rsidR="00AA70A8" w:rsidRPr="00AA70A8" w:rsidRDefault="00AA70A8" w:rsidP="00AA70A8">
      <w:pPr>
        <w:pStyle w:val="Odstavecseseznamem"/>
        <w:numPr>
          <w:ilvl w:val="0"/>
          <w:numId w:val="46"/>
        </w:numPr>
        <w:rPr>
          <w:b/>
        </w:rPr>
      </w:pPr>
      <w:r>
        <w:t>P – patentová rešerše.</w:t>
      </w:r>
    </w:p>
    <w:p w14:paraId="5B459978" w14:textId="77777777" w:rsidR="00682062" w:rsidRDefault="001B2F54" w:rsidP="001B2F54">
      <w:pPr>
        <w:rPr>
          <w:b/>
        </w:rPr>
      </w:pPr>
      <w:r w:rsidRPr="001B2F54">
        <w:rPr>
          <w:b/>
        </w:rPr>
        <w:t>Povinné přílohy k výstupům/výsledkům musí být součástí návrhu projektu a nemohou být</w:t>
      </w:r>
      <w:r w:rsidR="00F84CD2">
        <w:rPr>
          <w:b/>
        </w:rPr>
        <w:t xml:space="preserve"> </w:t>
      </w:r>
      <w:r w:rsidRPr="001B2F54">
        <w:rPr>
          <w:b/>
        </w:rPr>
        <w:t>dodatečně doloženy</w:t>
      </w:r>
      <w:r w:rsidR="00F84CD2">
        <w:rPr>
          <w:b/>
        </w:rPr>
        <w:t>.</w:t>
      </w:r>
    </w:p>
    <w:p w14:paraId="181D6BB6" w14:textId="77777777" w:rsidR="00AA70A8" w:rsidRDefault="00AA70A8" w:rsidP="008F2375">
      <w:pPr>
        <w:rPr>
          <w:b/>
          <w:color w:val="FF0000"/>
        </w:rPr>
      </w:pPr>
    </w:p>
    <w:p w14:paraId="3BB9D3CC" w14:textId="77777777" w:rsidR="003206E0" w:rsidRDefault="00DB59BE" w:rsidP="008F2375">
      <w:pPr>
        <w:rPr>
          <w:b/>
          <w:color w:val="1F4E79" w:themeColor="accent1" w:themeShade="80"/>
          <w:sz w:val="28"/>
          <w:szCs w:val="28"/>
        </w:rPr>
      </w:pPr>
      <w:proofErr w:type="spellStart"/>
      <w:r>
        <w:rPr>
          <w:b/>
          <w:color w:val="1F4E79" w:themeColor="accent1" w:themeShade="80"/>
          <w:sz w:val="28"/>
          <w:szCs w:val="28"/>
        </w:rPr>
        <w:t>Tématické</w:t>
      </w:r>
      <w:proofErr w:type="spellEnd"/>
      <w:r>
        <w:rPr>
          <w:b/>
          <w:color w:val="1F4E79" w:themeColor="accent1" w:themeShade="80"/>
          <w:sz w:val="28"/>
          <w:szCs w:val="28"/>
        </w:rPr>
        <w:t xml:space="preserve"> vymezení návrhu projektu</w:t>
      </w:r>
    </w:p>
    <w:p w14:paraId="62FF192A" w14:textId="77777777" w:rsidR="00DB59BE" w:rsidRPr="00DB59BE" w:rsidRDefault="00DB59BE" w:rsidP="00734728">
      <w:pPr>
        <w:rPr>
          <w:b/>
        </w:rPr>
      </w:pPr>
      <w:r w:rsidRPr="00DB59BE">
        <w:rPr>
          <w:b/>
        </w:rPr>
        <w:t xml:space="preserve">Národní priority orientovaného výzkumu </w:t>
      </w:r>
    </w:p>
    <w:p w14:paraId="6F755B36" w14:textId="77777777" w:rsidR="00DB59BE" w:rsidRDefault="00DB59BE" w:rsidP="00734728">
      <w:r>
        <w:t xml:space="preserve">Uchazeči musí povinně zvolit jeden hlavní a žádný až dva vedlejší cíle z Národních priorit orientovaného výzkumu, experimentálního vývoje a inovací (NPOV) – přehled cílů je uveden v ISTA. </w:t>
      </w:r>
    </w:p>
    <w:p w14:paraId="04392999" w14:textId="77777777" w:rsidR="00DB59BE" w:rsidRDefault="00DB59BE" w:rsidP="00734728">
      <w:r>
        <w:t xml:space="preserve">V této veřejné soutěži mohou uchazeči zvolit cíle NPOV následovně: </w:t>
      </w:r>
    </w:p>
    <w:p w14:paraId="1FFD732E" w14:textId="77777777" w:rsidR="00DB59BE" w:rsidRDefault="00DB59BE" w:rsidP="00734728">
      <w:r>
        <w:t xml:space="preserve">● v PP1 a PP3 hlavní i vedlejší cíle NPOV ze všech oblastí a podoblastí; </w:t>
      </w:r>
    </w:p>
    <w:p w14:paraId="59385FB6" w14:textId="77777777" w:rsidR="00DB59BE" w:rsidRDefault="00DB59BE" w:rsidP="00734728">
      <w:r>
        <w:t xml:space="preserve">● v PP2 hlavní cíl NPOV z oblasti 2 Udržitelnost energetiky a materiálových zdrojů. Vedlejší cíl ze všech prioritních oblastí NPOV. </w:t>
      </w:r>
    </w:p>
    <w:p w14:paraId="62BCA534" w14:textId="77777777" w:rsidR="00DB59BE" w:rsidRPr="00DB59BE" w:rsidRDefault="00DB59BE" w:rsidP="00734728">
      <w:pPr>
        <w:rPr>
          <w:b/>
        </w:rPr>
      </w:pPr>
      <w:r w:rsidRPr="00DB59BE">
        <w:rPr>
          <w:b/>
        </w:rPr>
        <w:t xml:space="preserve">Obory CEP, FORD a TA ČR </w:t>
      </w:r>
    </w:p>
    <w:p w14:paraId="7A1A9ECB" w14:textId="77777777" w:rsidR="00DB59BE" w:rsidRDefault="00DB59BE" w:rsidP="00734728">
      <w:r>
        <w:t xml:space="preserve">Uchazeči si v návrhu projektu povinně zvolí jeden hlavní, jeden vedlejší a jeden další vedlejší obor podle Centrální evidence projektů (CEP), </w:t>
      </w:r>
      <w:proofErr w:type="spellStart"/>
      <w:r>
        <w:t>Fields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Development – Oblasti výzkumu a vývoje (FORD) a podle číselníku TA ČR. Zvolené obory CEP, FORD a TA ČR by měly být v souladu. V této veřejné soutěži musí uchazeči jako hlavní obory zvolit: </w:t>
      </w:r>
    </w:p>
    <w:p w14:paraId="6A4AC8F4" w14:textId="77777777" w:rsidR="00DB59BE" w:rsidRDefault="00DB59BE" w:rsidP="00734728">
      <w:r>
        <w:t xml:space="preserve">● </w:t>
      </w:r>
      <w:proofErr w:type="gramStart"/>
      <w:r>
        <w:t>CEP - obory</w:t>
      </w:r>
      <w:proofErr w:type="gramEnd"/>
      <w:r>
        <w:t xml:space="preserve"> JE – Nejaderná energetika, spotřeba a užití energie a JF – Jaderná energetika; </w:t>
      </w:r>
    </w:p>
    <w:p w14:paraId="520C388B" w14:textId="77777777" w:rsidR="00DB59BE" w:rsidRDefault="00DB59BE" w:rsidP="00734728">
      <w:r>
        <w:t xml:space="preserve">● </w:t>
      </w:r>
      <w:proofErr w:type="gramStart"/>
      <w:r>
        <w:t>FORD - obory</w:t>
      </w:r>
      <w:proofErr w:type="gramEnd"/>
      <w:r>
        <w:t xml:space="preserve"> </w:t>
      </w:r>
      <w:proofErr w:type="spellStart"/>
      <w:r>
        <w:t>Energy</w:t>
      </w:r>
      <w:proofErr w:type="spellEnd"/>
      <w:r>
        <w:t xml:space="preserve"> and </w:t>
      </w:r>
      <w:proofErr w:type="spellStart"/>
      <w:r>
        <w:t>fuels</w:t>
      </w:r>
      <w:proofErr w:type="spellEnd"/>
      <w:r>
        <w:t xml:space="preserve"> a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; </w:t>
      </w:r>
    </w:p>
    <w:p w14:paraId="39E208A9" w14:textId="77777777" w:rsidR="00DB59BE" w:rsidRDefault="00DB59BE" w:rsidP="00734728">
      <w:r>
        <w:lastRenderedPageBreak/>
        <w:t xml:space="preserve">● TA </w:t>
      </w:r>
      <w:proofErr w:type="gramStart"/>
      <w:r>
        <w:t>ČR - obory</w:t>
      </w:r>
      <w:proofErr w:type="gramEnd"/>
      <w:r>
        <w:t xml:space="preserve"> MA - Teplárenství, MB - Nejaderná energetika, spotřeba a užití energie a MC - Jaderná energetika. </w:t>
      </w:r>
    </w:p>
    <w:p w14:paraId="2F72FEE8" w14:textId="77777777" w:rsidR="00DB59BE" w:rsidRDefault="00DB59BE" w:rsidP="00734728">
      <w:pPr>
        <w:rPr>
          <w:b/>
          <w:color w:val="1F4E79" w:themeColor="accent1" w:themeShade="80"/>
          <w:sz w:val="28"/>
          <w:szCs w:val="28"/>
        </w:rPr>
      </w:pPr>
      <w:r>
        <w:t>Vedlejší a další vedlejší obor CEP, FORD a TA ČR lze zvolit ze všech oborů bez omezení</w:t>
      </w:r>
    </w:p>
    <w:p w14:paraId="69A9D701" w14:textId="77777777" w:rsidR="00DB59BE" w:rsidRDefault="00DB59BE" w:rsidP="00734728">
      <w:pPr>
        <w:rPr>
          <w:b/>
          <w:color w:val="1F4E79" w:themeColor="accent1" w:themeShade="80"/>
          <w:sz w:val="28"/>
          <w:szCs w:val="28"/>
        </w:rPr>
      </w:pPr>
    </w:p>
    <w:p w14:paraId="33AA4191" w14:textId="77777777" w:rsidR="00C545CA" w:rsidRPr="009B5A27" w:rsidRDefault="00C545CA" w:rsidP="00734728">
      <w:pPr>
        <w:rPr>
          <w:b/>
          <w:color w:val="1F4E79" w:themeColor="accent1" w:themeShade="80"/>
          <w:sz w:val="28"/>
          <w:szCs w:val="28"/>
        </w:rPr>
      </w:pPr>
      <w:r w:rsidRPr="009B5A27">
        <w:rPr>
          <w:b/>
          <w:color w:val="1F4E79" w:themeColor="accent1" w:themeShade="80"/>
          <w:sz w:val="28"/>
          <w:szCs w:val="28"/>
        </w:rPr>
        <w:t>Hodnotící proces:</w:t>
      </w:r>
    </w:p>
    <w:p w14:paraId="25A22959" w14:textId="77777777" w:rsidR="00CE3CB8" w:rsidRPr="00740BFC" w:rsidRDefault="000D1D67" w:rsidP="000D1D67">
      <w:r>
        <w:t xml:space="preserve">Podrobnosti k hodnocení jednotlivých hodnoticích stupňů, seznam hodnoticích kritérií spolu se skutečnostmi, které budou hodnoceny v rámci jednotlivých kritérií, jsou uvedeny v příloze zadávací dokumentace č. </w:t>
      </w:r>
      <w:hyperlink r:id="rId14" w:history="1">
        <w:r w:rsidRPr="000D75D8">
          <w:rPr>
            <w:rStyle w:val="Hypertextovodkaz"/>
          </w:rPr>
          <w:t>3 – Hodnoticí proces</w:t>
        </w:r>
      </w:hyperlink>
      <w:r>
        <w:t>.</w:t>
      </w:r>
    </w:p>
    <w:sectPr w:rsidR="00CE3CB8" w:rsidRPr="00740BFC" w:rsidSect="00E63B3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7EA5BD"/>
    <w:multiLevelType w:val="hybridMultilevel"/>
    <w:tmpl w:val="7AE16B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70F8C9B"/>
    <w:multiLevelType w:val="hybridMultilevel"/>
    <w:tmpl w:val="85A7A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51329D7"/>
    <w:multiLevelType w:val="hybridMultilevel"/>
    <w:tmpl w:val="4D3732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6500726"/>
    <w:multiLevelType w:val="hybridMultilevel"/>
    <w:tmpl w:val="0CA48B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15CE996"/>
    <w:multiLevelType w:val="hybridMultilevel"/>
    <w:tmpl w:val="01416C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E5A"/>
    <w:multiLevelType w:val="hybridMultilevel"/>
    <w:tmpl w:val="16F63A0A"/>
    <w:lvl w:ilvl="0" w:tplc="AE1AB29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24D7D9B"/>
    <w:multiLevelType w:val="hybridMultilevel"/>
    <w:tmpl w:val="0BC83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2B3F75"/>
    <w:multiLevelType w:val="hybridMultilevel"/>
    <w:tmpl w:val="7A908780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B470DF"/>
    <w:multiLevelType w:val="hybridMultilevel"/>
    <w:tmpl w:val="F41EA8E2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F57B60"/>
    <w:multiLevelType w:val="hybridMultilevel"/>
    <w:tmpl w:val="305C813E"/>
    <w:lvl w:ilvl="0" w:tplc="F6FCB40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7D1FE8"/>
    <w:multiLevelType w:val="hybridMultilevel"/>
    <w:tmpl w:val="58227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701BF"/>
    <w:multiLevelType w:val="hybridMultilevel"/>
    <w:tmpl w:val="723A7A66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B07E9"/>
    <w:multiLevelType w:val="hybridMultilevel"/>
    <w:tmpl w:val="6E8C5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7636A"/>
    <w:multiLevelType w:val="hybridMultilevel"/>
    <w:tmpl w:val="54E08D28"/>
    <w:lvl w:ilvl="0" w:tplc="AE1AB2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6A6F4C"/>
    <w:multiLevelType w:val="hybridMultilevel"/>
    <w:tmpl w:val="1EF88F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A9C24D"/>
    <w:multiLevelType w:val="hybridMultilevel"/>
    <w:tmpl w:val="9FAA40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5486635"/>
    <w:multiLevelType w:val="hybridMultilevel"/>
    <w:tmpl w:val="6B32C352"/>
    <w:lvl w:ilvl="0" w:tplc="B8C62A2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6D024F"/>
    <w:multiLevelType w:val="hybridMultilevel"/>
    <w:tmpl w:val="7D6E7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65263"/>
    <w:multiLevelType w:val="hybridMultilevel"/>
    <w:tmpl w:val="F14EC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07552"/>
    <w:multiLevelType w:val="hybridMultilevel"/>
    <w:tmpl w:val="4B928374"/>
    <w:lvl w:ilvl="0" w:tplc="AE1AB29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27F81899"/>
    <w:multiLevelType w:val="hybridMultilevel"/>
    <w:tmpl w:val="A29E0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B56B73"/>
    <w:multiLevelType w:val="hybridMultilevel"/>
    <w:tmpl w:val="7DE43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47B0D"/>
    <w:multiLevelType w:val="hybridMultilevel"/>
    <w:tmpl w:val="D86ADD7C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29563C"/>
    <w:multiLevelType w:val="hybridMultilevel"/>
    <w:tmpl w:val="EB4A2ADA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9644E"/>
    <w:multiLevelType w:val="hybridMultilevel"/>
    <w:tmpl w:val="F3FC93B8"/>
    <w:lvl w:ilvl="0" w:tplc="F6FCB40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85771"/>
    <w:multiLevelType w:val="hybridMultilevel"/>
    <w:tmpl w:val="EACE8158"/>
    <w:lvl w:ilvl="0" w:tplc="EAA2C5C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5B374C"/>
    <w:multiLevelType w:val="hybridMultilevel"/>
    <w:tmpl w:val="6EB44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3641C"/>
    <w:multiLevelType w:val="hybridMultilevel"/>
    <w:tmpl w:val="98BABDA4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86BF9"/>
    <w:multiLevelType w:val="hybridMultilevel"/>
    <w:tmpl w:val="4F364D1E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4A6E26BE"/>
    <w:multiLevelType w:val="hybridMultilevel"/>
    <w:tmpl w:val="AEC688B6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1AD11C">
      <w:start w:val="1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D6BA9"/>
    <w:multiLevelType w:val="hybridMultilevel"/>
    <w:tmpl w:val="95AC8A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115AE0"/>
    <w:multiLevelType w:val="hybridMultilevel"/>
    <w:tmpl w:val="F8BCE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E5135"/>
    <w:multiLevelType w:val="hybridMultilevel"/>
    <w:tmpl w:val="311E98F2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578A5"/>
    <w:multiLevelType w:val="hybridMultilevel"/>
    <w:tmpl w:val="51047426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31675A"/>
    <w:multiLevelType w:val="hybridMultilevel"/>
    <w:tmpl w:val="687E0A00"/>
    <w:lvl w:ilvl="0" w:tplc="F6FCB40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5C44BC"/>
    <w:multiLevelType w:val="hybridMultilevel"/>
    <w:tmpl w:val="65C838AA"/>
    <w:lvl w:ilvl="0" w:tplc="AE1AB29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57BA0575"/>
    <w:multiLevelType w:val="hybridMultilevel"/>
    <w:tmpl w:val="A1F5C1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B3E19D8"/>
    <w:multiLevelType w:val="hybridMultilevel"/>
    <w:tmpl w:val="2CA8A556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C94999"/>
    <w:multiLevelType w:val="hybridMultilevel"/>
    <w:tmpl w:val="3FCE0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35688"/>
    <w:multiLevelType w:val="hybridMultilevel"/>
    <w:tmpl w:val="AC1C1EF4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24E28"/>
    <w:multiLevelType w:val="hybridMultilevel"/>
    <w:tmpl w:val="3FA40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DA0878"/>
    <w:multiLevelType w:val="hybridMultilevel"/>
    <w:tmpl w:val="0D3C0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17230"/>
    <w:multiLevelType w:val="hybridMultilevel"/>
    <w:tmpl w:val="8C02CE02"/>
    <w:lvl w:ilvl="0" w:tplc="AE1AB2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EF03A86"/>
    <w:multiLevelType w:val="hybridMultilevel"/>
    <w:tmpl w:val="E4E01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0126BD"/>
    <w:multiLevelType w:val="hybridMultilevel"/>
    <w:tmpl w:val="A330038A"/>
    <w:lvl w:ilvl="0" w:tplc="00000066">
      <w:start w:val="1"/>
      <w:numFmt w:val="bullet"/>
      <w:lvlText w:val="◦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063544"/>
    <w:multiLevelType w:val="hybridMultilevel"/>
    <w:tmpl w:val="B89A7E00"/>
    <w:lvl w:ilvl="0" w:tplc="B06C8D2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A56FAB"/>
    <w:multiLevelType w:val="hybridMultilevel"/>
    <w:tmpl w:val="670A6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38"/>
  </w:num>
  <w:num w:numId="4">
    <w:abstractNumId w:val="17"/>
  </w:num>
  <w:num w:numId="5">
    <w:abstractNumId w:val="36"/>
  </w:num>
  <w:num w:numId="6">
    <w:abstractNumId w:val="2"/>
  </w:num>
  <w:num w:numId="7">
    <w:abstractNumId w:val="4"/>
  </w:num>
  <w:num w:numId="8">
    <w:abstractNumId w:val="15"/>
  </w:num>
  <w:num w:numId="9">
    <w:abstractNumId w:val="20"/>
  </w:num>
  <w:num w:numId="10">
    <w:abstractNumId w:val="3"/>
  </w:num>
  <w:num w:numId="11">
    <w:abstractNumId w:val="12"/>
  </w:num>
  <w:num w:numId="12">
    <w:abstractNumId w:val="24"/>
  </w:num>
  <w:num w:numId="13">
    <w:abstractNumId w:val="34"/>
  </w:num>
  <w:num w:numId="14">
    <w:abstractNumId w:val="9"/>
  </w:num>
  <w:num w:numId="15">
    <w:abstractNumId w:val="43"/>
  </w:num>
  <w:num w:numId="16">
    <w:abstractNumId w:val="32"/>
  </w:num>
  <w:num w:numId="17">
    <w:abstractNumId w:val="27"/>
  </w:num>
  <w:num w:numId="18">
    <w:abstractNumId w:val="45"/>
  </w:num>
  <w:num w:numId="19">
    <w:abstractNumId w:val="23"/>
  </w:num>
  <w:num w:numId="20">
    <w:abstractNumId w:val="16"/>
  </w:num>
  <w:num w:numId="21">
    <w:abstractNumId w:val="44"/>
  </w:num>
  <w:num w:numId="22">
    <w:abstractNumId w:val="14"/>
  </w:num>
  <w:num w:numId="23">
    <w:abstractNumId w:val="0"/>
  </w:num>
  <w:num w:numId="24">
    <w:abstractNumId w:val="1"/>
  </w:num>
  <w:num w:numId="25">
    <w:abstractNumId w:val="7"/>
  </w:num>
  <w:num w:numId="26">
    <w:abstractNumId w:val="33"/>
  </w:num>
  <w:num w:numId="27">
    <w:abstractNumId w:val="37"/>
  </w:num>
  <w:num w:numId="28">
    <w:abstractNumId w:val="25"/>
  </w:num>
  <w:num w:numId="29">
    <w:abstractNumId w:val="29"/>
  </w:num>
  <w:num w:numId="30">
    <w:abstractNumId w:val="42"/>
  </w:num>
  <w:num w:numId="31">
    <w:abstractNumId w:val="19"/>
  </w:num>
  <w:num w:numId="32">
    <w:abstractNumId w:val="13"/>
  </w:num>
  <w:num w:numId="33">
    <w:abstractNumId w:val="22"/>
  </w:num>
  <w:num w:numId="34">
    <w:abstractNumId w:val="8"/>
  </w:num>
  <w:num w:numId="35">
    <w:abstractNumId w:val="30"/>
  </w:num>
  <w:num w:numId="36">
    <w:abstractNumId w:val="40"/>
  </w:num>
  <w:num w:numId="37">
    <w:abstractNumId w:val="41"/>
  </w:num>
  <w:num w:numId="38">
    <w:abstractNumId w:val="6"/>
  </w:num>
  <w:num w:numId="39">
    <w:abstractNumId w:val="35"/>
  </w:num>
  <w:num w:numId="40">
    <w:abstractNumId w:val="26"/>
  </w:num>
  <w:num w:numId="41">
    <w:abstractNumId w:val="5"/>
  </w:num>
  <w:num w:numId="42">
    <w:abstractNumId w:val="39"/>
  </w:num>
  <w:num w:numId="43">
    <w:abstractNumId w:val="11"/>
  </w:num>
  <w:num w:numId="44">
    <w:abstractNumId w:val="18"/>
  </w:num>
  <w:num w:numId="45">
    <w:abstractNumId w:val="46"/>
  </w:num>
  <w:num w:numId="46">
    <w:abstractNumId w:val="31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70F"/>
    <w:rsid w:val="00003606"/>
    <w:rsid w:val="0003296A"/>
    <w:rsid w:val="000446FC"/>
    <w:rsid w:val="000662D1"/>
    <w:rsid w:val="00077902"/>
    <w:rsid w:val="00097BCB"/>
    <w:rsid w:val="000A264A"/>
    <w:rsid w:val="000D1D67"/>
    <w:rsid w:val="000D75D8"/>
    <w:rsid w:val="000D771C"/>
    <w:rsid w:val="000E4DE5"/>
    <w:rsid w:val="00145603"/>
    <w:rsid w:val="00162A88"/>
    <w:rsid w:val="001B2F54"/>
    <w:rsid w:val="001C37FB"/>
    <w:rsid w:val="00210CA9"/>
    <w:rsid w:val="00240BAB"/>
    <w:rsid w:val="002677A7"/>
    <w:rsid w:val="002F1541"/>
    <w:rsid w:val="003143FE"/>
    <w:rsid w:val="003206E0"/>
    <w:rsid w:val="00350D3D"/>
    <w:rsid w:val="00391934"/>
    <w:rsid w:val="003B2398"/>
    <w:rsid w:val="00421000"/>
    <w:rsid w:val="00474F9B"/>
    <w:rsid w:val="00481E77"/>
    <w:rsid w:val="004A1956"/>
    <w:rsid w:val="00563DF1"/>
    <w:rsid w:val="0057770F"/>
    <w:rsid w:val="005962B5"/>
    <w:rsid w:val="0061258A"/>
    <w:rsid w:val="006209C7"/>
    <w:rsid w:val="006273F6"/>
    <w:rsid w:val="00682062"/>
    <w:rsid w:val="006B0020"/>
    <w:rsid w:val="007207CB"/>
    <w:rsid w:val="007342CF"/>
    <w:rsid w:val="00734728"/>
    <w:rsid w:val="00740BFC"/>
    <w:rsid w:val="00777781"/>
    <w:rsid w:val="007A363D"/>
    <w:rsid w:val="007C2781"/>
    <w:rsid w:val="007D0697"/>
    <w:rsid w:val="007D1407"/>
    <w:rsid w:val="00832490"/>
    <w:rsid w:val="008747AC"/>
    <w:rsid w:val="008859D6"/>
    <w:rsid w:val="00894BEB"/>
    <w:rsid w:val="008F2375"/>
    <w:rsid w:val="00916256"/>
    <w:rsid w:val="009316A1"/>
    <w:rsid w:val="009334D0"/>
    <w:rsid w:val="00942569"/>
    <w:rsid w:val="009A2DA9"/>
    <w:rsid w:val="009B5A27"/>
    <w:rsid w:val="00A24015"/>
    <w:rsid w:val="00A26BA0"/>
    <w:rsid w:val="00A5483D"/>
    <w:rsid w:val="00A65AED"/>
    <w:rsid w:val="00A70CA5"/>
    <w:rsid w:val="00A9023A"/>
    <w:rsid w:val="00AA3A90"/>
    <w:rsid w:val="00AA70A8"/>
    <w:rsid w:val="00AD48D4"/>
    <w:rsid w:val="00B34DF4"/>
    <w:rsid w:val="00BC5DC4"/>
    <w:rsid w:val="00BD1090"/>
    <w:rsid w:val="00C10D9F"/>
    <w:rsid w:val="00C2215E"/>
    <w:rsid w:val="00C545CA"/>
    <w:rsid w:val="00CD1210"/>
    <w:rsid w:val="00CD7938"/>
    <w:rsid w:val="00CE3CB8"/>
    <w:rsid w:val="00D32D3A"/>
    <w:rsid w:val="00D34A55"/>
    <w:rsid w:val="00D66035"/>
    <w:rsid w:val="00DA541B"/>
    <w:rsid w:val="00DA72CD"/>
    <w:rsid w:val="00DB59BE"/>
    <w:rsid w:val="00DB7603"/>
    <w:rsid w:val="00E11D70"/>
    <w:rsid w:val="00E13EC8"/>
    <w:rsid w:val="00E30C7E"/>
    <w:rsid w:val="00E35ACB"/>
    <w:rsid w:val="00E407E5"/>
    <w:rsid w:val="00E63B3F"/>
    <w:rsid w:val="00EA3292"/>
    <w:rsid w:val="00EB3EF0"/>
    <w:rsid w:val="00EE36B1"/>
    <w:rsid w:val="00F148C0"/>
    <w:rsid w:val="00F26DA9"/>
    <w:rsid w:val="00F2739C"/>
    <w:rsid w:val="00F36C80"/>
    <w:rsid w:val="00F52D4A"/>
    <w:rsid w:val="00F71B11"/>
    <w:rsid w:val="00F83284"/>
    <w:rsid w:val="00F84CD2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CB6F"/>
  <w15:chartTrackingRefBased/>
  <w15:docId w15:val="{111FCB2E-4DBB-4516-BEAB-79E05E5F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ubheading-category1">
    <w:name w:val="subheading-category1"/>
    <w:basedOn w:val="Standardnpsmoodstavce"/>
    <w:rsid w:val="0057770F"/>
    <w:rPr>
      <w:cap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7770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777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94BEB"/>
    <w:rPr>
      <w:color w:val="0563C1" w:themeColor="hyperlink"/>
      <w:u w:val="single"/>
    </w:rPr>
  </w:style>
  <w:style w:type="paragraph" w:customStyle="1" w:styleId="Default">
    <w:name w:val="Default"/>
    <w:rsid w:val="00097BC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50D3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154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A2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ka@vutbr.cz" TargetMode="External"/><Relationship Id="rId13" Type="http://schemas.openxmlformats.org/officeDocument/2006/relationships/hyperlink" Target="https://www.tacr.cz/wp-content/uploads/documents/2023/09/13/1694585356_P%C5%99%C3%ADloha%20%C4%8D.%202%20-%20Aplika%C4%8Dn%C3%AD%20garant%20-%20podprogram%201.pdf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mailto:dankovam@vutbr.cz" TargetMode="External"/><Relationship Id="rId12" Type="http://schemas.openxmlformats.org/officeDocument/2006/relationships/hyperlink" Target="https://sista.tacr.cz/ucet/?client_id=ista&amp;redirect_uri=https://ista.tacr.cz:443/ISTA/PUBLIC/oauthresp.jsp&amp;response_type=code&amp;scope=null&amp;state=null&amp;oauth=true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ilcerov&#225;@vutbr.cz" TargetMode="External"/><Relationship Id="rId11" Type="http://schemas.openxmlformats.org/officeDocument/2006/relationships/hyperlink" Target="https://www.tacr.cz/soutez/program-theta-2/prvni-verejna-soutez-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skova@vutbr.cz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jana.ondrouskova@vutbr.cz" TargetMode="External"/><Relationship Id="rId14" Type="http://schemas.openxmlformats.org/officeDocument/2006/relationships/hyperlink" Target="https://www.tacr.cz/wp-content/uploads/documents/2023/09/13/1694585391_P%C5%99%C3%ADloha%20%C4%8D.%203%20-%20Hodnotic%C3%AD%20proces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B68D9F2763649910998E89D96AB68" ma:contentTypeVersion="15" ma:contentTypeDescription="Vytvoří nový dokument" ma:contentTypeScope="" ma:versionID="40893f7cdd27bc8d13f67db0022a6232">
  <xsd:schema xmlns:xsd="http://www.w3.org/2001/XMLSchema" xmlns:xs="http://www.w3.org/2001/XMLSchema" xmlns:p="http://schemas.microsoft.com/office/2006/metadata/properties" xmlns:ns2="041d89de-1744-4521-a685-e886ea2c03de" xmlns:ns3="8c35e4c5-d405-463c-af8a-5ed9b7598b51" targetNamespace="http://schemas.microsoft.com/office/2006/metadata/properties" ma:root="true" ma:fieldsID="f46056d08504db1b4b337174dd89ca44" ns2:_="" ns3:_="">
    <xsd:import namespace="041d89de-1744-4521-a685-e886ea2c03de"/>
    <xsd:import namespace="8c35e4c5-d405-463c-af8a-5ed9b7598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89de-1744-4521-a685-e886ea2c0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5e4c5-d405-463c-af8a-5ed9b7598b5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5fba7fc-e759-43d2-8863-c8702963e369}" ma:internalName="TaxCatchAll" ma:showField="CatchAllData" ma:web="8c35e4c5-d405-463c-af8a-5ed9b7598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35e4c5-d405-463c-af8a-5ed9b7598b51" xsi:nil="true"/>
    <lcf76f155ced4ddcb4097134ff3c332f xmlns="041d89de-1744-4521-a685-e886ea2c03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686C5D-CBC0-44E8-AB20-BE9A5044D8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ED2DB2-B9A1-415F-93F3-38934B2272F1}"/>
</file>

<file path=customXml/itemProps3.xml><?xml version="1.0" encoding="utf-8"?>
<ds:datastoreItem xmlns:ds="http://schemas.openxmlformats.org/officeDocument/2006/customXml" ds:itemID="{5C17F3C9-5542-4992-90A3-F65FB3533BE6}"/>
</file>

<file path=customXml/itemProps4.xml><?xml version="1.0" encoding="utf-8"?>
<ds:datastoreItem xmlns:ds="http://schemas.openxmlformats.org/officeDocument/2006/customXml" ds:itemID="{C4D898B3-441D-4F9D-A25F-921BDCA19F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1754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Legátová Martina</dc:creator>
  <cp:keywords/>
  <dc:description/>
  <cp:lastModifiedBy>Vavrečková Eva (233793)</cp:lastModifiedBy>
  <cp:revision>2</cp:revision>
  <dcterms:created xsi:type="dcterms:W3CDTF">2023-09-26T07:03:00Z</dcterms:created>
  <dcterms:modified xsi:type="dcterms:W3CDTF">2023-09-26T07:03:00Z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0x010100F6FB68D9F2763649910998E89D96AB68</vt:lpwstr>
  </property>
</Properties>
</file>