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2C9A" w14:textId="77777777" w:rsidR="00097BCB" w:rsidRPr="00756314" w:rsidRDefault="00756314" w:rsidP="0057770F">
      <w:pPr>
        <w:rPr>
          <w:b/>
          <w:color w:val="2F5496" w:themeColor="accent5" w:themeShade="BF"/>
          <w:sz w:val="32"/>
          <w:szCs w:val="32"/>
        </w:rPr>
      </w:pPr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7</w:t>
      </w:r>
      <w:r w:rsidR="00097BCB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. veřejná soutěž</w:t>
      </w:r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 </w:t>
      </w:r>
      <w:r w:rsidR="00097BCB" w:rsidRPr="00097BCB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Prostředí pro život</w:t>
      </w:r>
    </w:p>
    <w:p w14:paraId="259AD6E8" w14:textId="77777777" w:rsidR="00097BCB" w:rsidRDefault="00097BCB" w:rsidP="00097BCB">
      <w:pPr>
        <w:rPr>
          <w:rFonts w:cstheme="minorHAnsi"/>
          <w:b/>
        </w:rPr>
      </w:pPr>
      <w:r w:rsidRPr="009660DC">
        <w:rPr>
          <w:rFonts w:cstheme="minorHAnsi"/>
          <w:b/>
        </w:rPr>
        <w:t>Podprogram 1- Operativní výzkum ve veřejném zájmu</w:t>
      </w:r>
    </w:p>
    <w:p w14:paraId="40333648" w14:textId="77777777" w:rsidR="00450019" w:rsidRPr="00756314" w:rsidRDefault="00450019" w:rsidP="00450019">
      <w:pPr>
        <w:rPr>
          <w:rFonts w:cstheme="minorHAnsi"/>
          <w:b/>
          <w:color w:val="FF0000"/>
        </w:rPr>
      </w:pPr>
      <w:r w:rsidRPr="00756314">
        <w:rPr>
          <w:rFonts w:cstheme="minorHAnsi"/>
          <w:b/>
          <w:color w:val="FF0000"/>
        </w:rPr>
        <w:t xml:space="preserve">Podprogram 2 - </w:t>
      </w:r>
      <w:proofErr w:type="spellStart"/>
      <w:r w:rsidRPr="00756314">
        <w:rPr>
          <w:rFonts w:cstheme="minorHAnsi"/>
          <w:b/>
          <w:color w:val="FF0000"/>
        </w:rPr>
        <w:t>Ekoinovace</w:t>
      </w:r>
      <w:proofErr w:type="spellEnd"/>
      <w:r w:rsidRPr="00756314">
        <w:rPr>
          <w:rFonts w:cstheme="minorHAnsi"/>
          <w:b/>
          <w:color w:val="FF0000"/>
        </w:rPr>
        <w:t>, technologie a postupy pro ochranu životního prostředí</w:t>
      </w:r>
      <w:r w:rsidR="00756314" w:rsidRPr="00756314">
        <w:rPr>
          <w:rFonts w:cstheme="minorHAnsi"/>
          <w:b/>
          <w:color w:val="FF0000"/>
        </w:rPr>
        <w:t xml:space="preserve"> – </w:t>
      </w:r>
      <w:r w:rsidR="007051F3">
        <w:rPr>
          <w:rFonts w:cstheme="minorHAnsi"/>
          <w:b/>
          <w:color w:val="FF0000"/>
        </w:rPr>
        <w:t>NPO</w:t>
      </w:r>
    </w:p>
    <w:p w14:paraId="07B6443F" w14:textId="77777777" w:rsidR="00097BCB" w:rsidRPr="009660DC" w:rsidRDefault="00097BCB" w:rsidP="0057770F">
      <w:pPr>
        <w:rPr>
          <w:rFonts w:cstheme="minorHAnsi"/>
          <w:b/>
        </w:rPr>
      </w:pPr>
    </w:p>
    <w:p w14:paraId="7664E16D" w14:textId="77777777" w:rsidR="0057770F" w:rsidRPr="009660DC" w:rsidRDefault="0057770F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Důležité termíny:</w:t>
      </w:r>
    </w:p>
    <w:p w14:paraId="172909D0" w14:textId="77777777" w:rsidR="0057770F" w:rsidRPr="009660DC" w:rsidRDefault="0057770F" w:rsidP="007C2781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 xml:space="preserve">Soutěžní lhůta začíná: </w:t>
      </w:r>
      <w:r w:rsidR="00756314">
        <w:rPr>
          <w:rFonts w:cstheme="minorHAnsi"/>
          <w:b/>
        </w:rPr>
        <w:t>1</w:t>
      </w:r>
      <w:r w:rsidR="007F213B">
        <w:rPr>
          <w:rFonts w:cstheme="minorHAnsi"/>
          <w:b/>
        </w:rPr>
        <w:t>3</w:t>
      </w:r>
      <w:r w:rsidR="00AD3531">
        <w:rPr>
          <w:rFonts w:cstheme="minorHAnsi"/>
          <w:b/>
        </w:rPr>
        <w:t>.</w:t>
      </w:r>
      <w:r w:rsidR="00756314">
        <w:rPr>
          <w:rFonts w:cstheme="minorHAnsi"/>
          <w:b/>
        </w:rPr>
        <w:t>7</w:t>
      </w:r>
      <w:r w:rsidR="00AD3531">
        <w:rPr>
          <w:rFonts w:cstheme="minorHAnsi"/>
          <w:b/>
        </w:rPr>
        <w:t>. 202</w:t>
      </w:r>
      <w:r w:rsidR="00756314">
        <w:rPr>
          <w:rFonts w:cstheme="minorHAnsi"/>
          <w:b/>
        </w:rPr>
        <w:t>3</w:t>
      </w:r>
    </w:p>
    <w:p w14:paraId="1C6A23BE" w14:textId="77777777" w:rsidR="0057770F" w:rsidRPr="009660DC" w:rsidRDefault="0057770F" w:rsidP="007C2781">
      <w:pPr>
        <w:spacing w:line="240" w:lineRule="auto"/>
        <w:rPr>
          <w:rFonts w:cstheme="minorHAnsi"/>
        </w:rPr>
      </w:pPr>
      <w:r w:rsidRPr="009660DC">
        <w:rPr>
          <w:rFonts w:cstheme="minorHAnsi"/>
        </w:rPr>
        <w:t xml:space="preserve">Soutěžní lhůta končí: </w:t>
      </w:r>
      <w:r w:rsidR="00AD3531">
        <w:rPr>
          <w:rFonts w:cstheme="minorHAnsi"/>
          <w:b/>
        </w:rPr>
        <w:t>1</w:t>
      </w:r>
      <w:r w:rsidR="00756314">
        <w:rPr>
          <w:rFonts w:cstheme="minorHAnsi"/>
          <w:b/>
        </w:rPr>
        <w:t>3</w:t>
      </w:r>
      <w:r w:rsidR="00AD3531">
        <w:rPr>
          <w:rFonts w:cstheme="minorHAnsi"/>
          <w:b/>
        </w:rPr>
        <w:t>. 9. 202</w:t>
      </w:r>
      <w:r w:rsidR="00756314">
        <w:rPr>
          <w:rFonts w:cstheme="minorHAnsi"/>
          <w:b/>
        </w:rPr>
        <w:t>3</w:t>
      </w:r>
      <w:r w:rsidRPr="009660DC">
        <w:rPr>
          <w:rFonts w:cstheme="minorHAnsi"/>
        </w:rPr>
        <w:t xml:space="preserve"> do 1</w:t>
      </w:r>
      <w:r w:rsidR="00A24015" w:rsidRPr="009660DC">
        <w:rPr>
          <w:rFonts w:cstheme="minorHAnsi"/>
        </w:rPr>
        <w:t>6</w:t>
      </w:r>
      <w:r w:rsidRPr="009660DC">
        <w:rPr>
          <w:rFonts w:cstheme="minorHAnsi"/>
        </w:rPr>
        <w:t xml:space="preserve">.30 pro podání projektu; </w:t>
      </w:r>
    </w:p>
    <w:p w14:paraId="2EE9E5D3" w14:textId="77777777" w:rsidR="009A6497" w:rsidRPr="009660DC" w:rsidRDefault="0057770F" w:rsidP="00B723D0">
      <w:pPr>
        <w:spacing w:line="240" w:lineRule="auto"/>
        <w:ind w:left="2937"/>
        <w:rPr>
          <w:rFonts w:cstheme="minorHAnsi"/>
        </w:rPr>
      </w:pPr>
      <w:r w:rsidRPr="004A64EB">
        <w:rPr>
          <w:rFonts w:cstheme="minorHAnsi"/>
        </w:rPr>
        <w:t>do 23.59 pro zaslání Potvrzení podání elektronického návrhu</w:t>
      </w:r>
      <w:r w:rsidR="00FD6332" w:rsidRPr="004A64EB">
        <w:rPr>
          <w:rFonts w:cstheme="minorHAnsi"/>
        </w:rPr>
        <w:t xml:space="preserve"> v datovém poli „Věc“ má být uvedeno </w:t>
      </w:r>
      <w:r w:rsidR="004A64EB" w:rsidRPr="004A64EB">
        <w:t xml:space="preserve">7. veřejná soutěž programu Prostředí pro život – Potvrzení podání“. </w:t>
      </w:r>
      <w:r w:rsidRPr="004A64EB">
        <w:rPr>
          <w:rFonts w:cstheme="minorHAnsi"/>
        </w:rPr>
        <w:t>a potvrzení způsobilosti uchazeče</w:t>
      </w:r>
      <w:r w:rsidR="009A6497" w:rsidRPr="004A64EB">
        <w:rPr>
          <w:rFonts w:cstheme="minorHAnsi"/>
        </w:rPr>
        <w:t xml:space="preserve"> (ID datové schránky TA ČR: afth9xp.)</w:t>
      </w:r>
    </w:p>
    <w:p w14:paraId="5E229329" w14:textId="77777777" w:rsidR="0057770F" w:rsidRPr="007F213B" w:rsidRDefault="007F213B" w:rsidP="007F213B">
      <w:pPr>
        <w:spacing w:line="240" w:lineRule="auto"/>
        <w:rPr>
          <w:rFonts w:cstheme="minorHAnsi"/>
          <w:b/>
          <w:color w:val="FF0000"/>
        </w:rPr>
      </w:pPr>
      <w:r w:rsidRPr="007F213B">
        <w:rPr>
          <w:b/>
          <w:color w:val="FF0000"/>
        </w:rPr>
        <w:t xml:space="preserve">Nejzazší možný okamžik odeslání žádosti o aplikační </w:t>
      </w:r>
      <w:proofErr w:type="spellStart"/>
      <w:r w:rsidRPr="007F213B">
        <w:rPr>
          <w:b/>
          <w:color w:val="FF0000"/>
        </w:rPr>
        <w:t>garantství</w:t>
      </w:r>
      <w:proofErr w:type="spellEnd"/>
      <w:r w:rsidRPr="007F213B">
        <w:rPr>
          <w:b/>
          <w:color w:val="FF0000"/>
        </w:rPr>
        <w:t xml:space="preserve"> (po tomto termínu již není možné garantovat jejich vyřízení) 24. 8. 2023</w:t>
      </w:r>
    </w:p>
    <w:p w14:paraId="6F747EFB" w14:textId="77777777" w:rsidR="00894BEB" w:rsidRPr="009660DC" w:rsidRDefault="00894BEB" w:rsidP="007C2781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>Vyhlášení výsledků soutěže</w:t>
      </w:r>
      <w:r w:rsidRPr="007F213B">
        <w:rPr>
          <w:rFonts w:cstheme="minorHAnsi"/>
        </w:rPr>
        <w:t>:</w:t>
      </w:r>
      <w:r w:rsidRPr="007F213B">
        <w:rPr>
          <w:rFonts w:cstheme="minorHAnsi"/>
          <w:b/>
        </w:rPr>
        <w:t xml:space="preserve"> do </w:t>
      </w:r>
      <w:r w:rsidR="009A6497" w:rsidRPr="007F213B">
        <w:rPr>
          <w:rFonts w:cstheme="minorHAnsi"/>
          <w:b/>
        </w:rPr>
        <w:t xml:space="preserve">31. </w:t>
      </w:r>
      <w:r w:rsidR="00AD3531" w:rsidRPr="007F213B">
        <w:rPr>
          <w:rFonts w:cstheme="minorHAnsi"/>
          <w:b/>
        </w:rPr>
        <w:t>3</w:t>
      </w:r>
      <w:r w:rsidR="00CD1210" w:rsidRPr="007F213B">
        <w:rPr>
          <w:rFonts w:cstheme="minorHAnsi"/>
          <w:b/>
        </w:rPr>
        <w:t>.</w:t>
      </w:r>
      <w:r w:rsidRPr="007F213B">
        <w:rPr>
          <w:rFonts w:cstheme="minorHAnsi"/>
          <w:b/>
        </w:rPr>
        <w:t xml:space="preserve"> 202</w:t>
      </w:r>
      <w:r w:rsidR="007F213B" w:rsidRPr="007F213B">
        <w:rPr>
          <w:rFonts w:cstheme="minorHAnsi"/>
          <w:b/>
        </w:rPr>
        <w:t>4</w:t>
      </w:r>
    </w:p>
    <w:p w14:paraId="63386362" w14:textId="77777777" w:rsidR="00894BEB" w:rsidRPr="009660DC" w:rsidRDefault="00894BEB" w:rsidP="007C2781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>Zahájení řešení projektu:</w:t>
      </w:r>
      <w:r w:rsidRPr="009660DC">
        <w:rPr>
          <w:rFonts w:cstheme="minorHAnsi"/>
          <w:b/>
        </w:rPr>
        <w:t xml:space="preserve"> </w:t>
      </w:r>
      <w:r w:rsidR="007F213B">
        <w:rPr>
          <w:rFonts w:cstheme="minorHAnsi"/>
          <w:b/>
        </w:rPr>
        <w:t>duben až červen</w:t>
      </w:r>
      <w:r w:rsidRPr="00AD3531">
        <w:rPr>
          <w:rFonts w:cstheme="minorHAnsi"/>
          <w:b/>
        </w:rPr>
        <w:t xml:space="preserve"> 202</w:t>
      </w:r>
      <w:r w:rsidR="00756314">
        <w:rPr>
          <w:rFonts w:cstheme="minorHAnsi"/>
          <w:b/>
        </w:rPr>
        <w:t>4</w:t>
      </w:r>
    </w:p>
    <w:p w14:paraId="05499EB7" w14:textId="77777777" w:rsidR="00CD1210" w:rsidRDefault="00CD1210" w:rsidP="004A64EB">
      <w:pPr>
        <w:spacing w:after="0" w:line="240" w:lineRule="auto"/>
        <w:rPr>
          <w:rFonts w:cstheme="minorHAnsi"/>
          <w:b/>
        </w:rPr>
      </w:pPr>
      <w:r w:rsidRPr="009660DC">
        <w:rPr>
          <w:rFonts w:cstheme="minorHAnsi"/>
        </w:rPr>
        <w:t>Délka řešení projektu:</w:t>
      </w:r>
      <w:r w:rsidR="00AD3531">
        <w:rPr>
          <w:rFonts w:cstheme="minorHAnsi"/>
        </w:rPr>
        <w:t xml:space="preserve"> </w:t>
      </w:r>
      <w:r w:rsidR="00AD3531" w:rsidRPr="00AD3531">
        <w:rPr>
          <w:rFonts w:cstheme="minorHAnsi"/>
          <w:b/>
        </w:rPr>
        <w:t>PP1</w:t>
      </w:r>
      <w:r w:rsidR="00AD3531">
        <w:rPr>
          <w:rFonts w:cstheme="minorHAnsi"/>
        </w:rPr>
        <w:t xml:space="preserve"> - </w:t>
      </w:r>
      <w:proofErr w:type="gramStart"/>
      <w:r w:rsidRPr="009660DC">
        <w:rPr>
          <w:rFonts w:cstheme="minorHAnsi"/>
          <w:b/>
        </w:rPr>
        <w:t>12 – 3</w:t>
      </w:r>
      <w:r w:rsidR="00756314">
        <w:rPr>
          <w:rFonts w:cstheme="minorHAnsi"/>
          <w:b/>
        </w:rPr>
        <w:t>3</w:t>
      </w:r>
      <w:proofErr w:type="gramEnd"/>
      <w:r w:rsidRPr="009660DC">
        <w:rPr>
          <w:rFonts w:cstheme="minorHAnsi"/>
          <w:b/>
        </w:rPr>
        <w:t xml:space="preserve"> měsíců</w:t>
      </w:r>
    </w:p>
    <w:p w14:paraId="745A8C79" w14:textId="77777777" w:rsidR="00AD3531" w:rsidRPr="009660DC" w:rsidRDefault="00AD3531" w:rsidP="004A64E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A64EB">
        <w:rPr>
          <w:rFonts w:cstheme="minorHAnsi"/>
          <w:b/>
        </w:rPr>
        <w:t xml:space="preserve">            </w:t>
      </w:r>
      <w:r>
        <w:rPr>
          <w:rFonts w:cstheme="minorHAnsi"/>
          <w:b/>
        </w:rPr>
        <w:t xml:space="preserve">PP2 </w:t>
      </w:r>
      <w:r w:rsidR="004A64EB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proofErr w:type="gramStart"/>
      <w:r w:rsidR="00756314">
        <w:rPr>
          <w:rFonts w:cstheme="minorHAnsi"/>
          <w:b/>
        </w:rPr>
        <w:t>12</w:t>
      </w:r>
      <w:r>
        <w:rPr>
          <w:rFonts w:cstheme="minorHAnsi"/>
          <w:b/>
        </w:rPr>
        <w:t xml:space="preserve"> – </w:t>
      </w:r>
      <w:r w:rsidR="00756314">
        <w:rPr>
          <w:rFonts w:cstheme="minorHAnsi"/>
          <w:b/>
        </w:rPr>
        <w:t>27</w:t>
      </w:r>
      <w:proofErr w:type="gramEnd"/>
      <w:r>
        <w:rPr>
          <w:rFonts w:cstheme="minorHAnsi"/>
          <w:b/>
        </w:rPr>
        <w:t xml:space="preserve"> měsíců</w:t>
      </w:r>
    </w:p>
    <w:p w14:paraId="50CBEE6C" w14:textId="77777777" w:rsidR="00F3281D" w:rsidRPr="00AD3531" w:rsidRDefault="00F3281D" w:rsidP="004A64EB">
      <w:pPr>
        <w:spacing w:after="0" w:line="240" w:lineRule="auto"/>
        <w:rPr>
          <w:rFonts w:cstheme="minorHAnsi"/>
          <w:b/>
          <w:highlight w:val="yellow"/>
        </w:rPr>
      </w:pPr>
      <w:r w:rsidRPr="009660DC">
        <w:rPr>
          <w:rFonts w:cstheme="minorHAnsi"/>
        </w:rPr>
        <w:t xml:space="preserve">Nejzazší termín ukončení řešení </w:t>
      </w:r>
      <w:r w:rsidRPr="00AD3531">
        <w:rPr>
          <w:rFonts w:cstheme="minorHAnsi"/>
        </w:rPr>
        <w:t>projektu:</w:t>
      </w:r>
      <w:r w:rsidR="00AD3531" w:rsidRPr="00AD3531">
        <w:rPr>
          <w:rFonts w:cstheme="minorHAnsi"/>
        </w:rPr>
        <w:t xml:space="preserve"> </w:t>
      </w:r>
      <w:proofErr w:type="gramStart"/>
      <w:r w:rsidR="00AD3531" w:rsidRPr="00AD3531">
        <w:rPr>
          <w:rFonts w:cstheme="minorHAnsi"/>
          <w:b/>
        </w:rPr>
        <w:t>PP1</w:t>
      </w:r>
      <w:r w:rsidR="00AD3531">
        <w:rPr>
          <w:rFonts w:cstheme="minorHAnsi"/>
          <w:b/>
        </w:rPr>
        <w:t xml:space="preserve"> - </w:t>
      </w:r>
      <w:r w:rsidR="00756314">
        <w:rPr>
          <w:rFonts w:cstheme="minorHAnsi"/>
          <w:b/>
        </w:rPr>
        <w:t>prosinec</w:t>
      </w:r>
      <w:proofErr w:type="gramEnd"/>
      <w:r w:rsidR="00AD3531" w:rsidRPr="00AD3531">
        <w:rPr>
          <w:rFonts w:cstheme="minorHAnsi"/>
          <w:b/>
        </w:rPr>
        <w:t xml:space="preserve"> 2026</w:t>
      </w:r>
    </w:p>
    <w:p w14:paraId="3A8697CD" w14:textId="77777777" w:rsidR="00756314" w:rsidRPr="007051F3" w:rsidRDefault="00AD3531" w:rsidP="004A64E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A64EB">
        <w:rPr>
          <w:rFonts w:cstheme="minorHAnsi"/>
          <w:b/>
        </w:rPr>
        <w:t xml:space="preserve">    </w:t>
      </w:r>
      <w:proofErr w:type="gramStart"/>
      <w:r>
        <w:rPr>
          <w:rFonts w:cstheme="minorHAnsi"/>
          <w:b/>
        </w:rPr>
        <w:t>PP2</w:t>
      </w:r>
      <w:r w:rsidR="0075631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="00756314">
        <w:rPr>
          <w:rFonts w:cstheme="minorHAnsi"/>
          <w:b/>
        </w:rPr>
        <w:t>červen</w:t>
      </w:r>
      <w:proofErr w:type="gramEnd"/>
      <w:r>
        <w:rPr>
          <w:rFonts w:cstheme="minorHAnsi"/>
          <w:b/>
        </w:rPr>
        <w:t xml:space="preserve"> 202</w:t>
      </w:r>
      <w:r w:rsidR="00756314">
        <w:rPr>
          <w:rFonts w:cstheme="minorHAnsi"/>
          <w:b/>
        </w:rPr>
        <w:t>6</w:t>
      </w:r>
    </w:p>
    <w:p w14:paraId="587A62E5" w14:textId="77777777" w:rsidR="004A64EB" w:rsidRDefault="004A64EB" w:rsidP="009A6497">
      <w:pPr>
        <w:rPr>
          <w:rFonts w:cstheme="minorHAnsi"/>
          <w:b/>
          <w:i/>
          <w:color w:val="0070C0"/>
          <w:sz w:val="28"/>
          <w:szCs w:val="28"/>
        </w:rPr>
      </w:pPr>
    </w:p>
    <w:p w14:paraId="6A30D9B5" w14:textId="77777777" w:rsidR="009A6497" w:rsidRPr="009660DC" w:rsidRDefault="009A6497" w:rsidP="009A6497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Kontaktní osoby:</w:t>
      </w:r>
    </w:p>
    <w:p w14:paraId="6F1CF1E2" w14:textId="77777777" w:rsidR="00756314" w:rsidRPr="00C07767" w:rsidRDefault="00756314" w:rsidP="00756314">
      <w:pPr>
        <w:spacing w:after="0"/>
        <w:rPr>
          <w:b/>
        </w:rPr>
      </w:pPr>
      <w:r w:rsidRPr="002A7ABA">
        <w:rPr>
          <w:rFonts w:cstheme="minorHAnsi"/>
          <w:b/>
        </w:rPr>
        <w:t>Soutěž TAČR na VUT Brno – Ing. Veronika Pilcerová (</w:t>
      </w:r>
      <w:hyperlink r:id="rId8" w:history="1">
        <w:r w:rsidRPr="002A7ABA">
          <w:rPr>
            <w:rStyle w:val="Hypertextovodkaz"/>
            <w:rFonts w:cstheme="minorHAnsi"/>
            <w:b/>
          </w:rPr>
          <w:t>pilcerova@vutbr.cz</w:t>
        </w:r>
      </w:hyperlink>
      <w:r w:rsidRPr="002A7ABA">
        <w:rPr>
          <w:rFonts w:cstheme="minorHAnsi"/>
          <w:b/>
        </w:rPr>
        <w:t>, kl. 5237)</w:t>
      </w:r>
    </w:p>
    <w:p w14:paraId="447851FA" w14:textId="77777777" w:rsidR="00756314" w:rsidRPr="002A7ABA" w:rsidRDefault="00756314" w:rsidP="00756314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 xml:space="preserve">Duševní vlastnictví, konzultace smlouvy mezi uchazeči, </w:t>
      </w:r>
      <w:proofErr w:type="spellStart"/>
      <w:r w:rsidRPr="002A7ABA">
        <w:rPr>
          <w:rFonts w:cstheme="minorHAnsi"/>
          <w:b/>
        </w:rPr>
        <w:t>Letter</w:t>
      </w:r>
      <w:proofErr w:type="spellEnd"/>
      <w:r w:rsidRPr="002A7ABA">
        <w:rPr>
          <w:rFonts w:cstheme="minorHAnsi"/>
          <w:b/>
        </w:rPr>
        <w:t xml:space="preserve"> </w:t>
      </w:r>
      <w:proofErr w:type="spellStart"/>
      <w:r w:rsidRPr="002A7ABA">
        <w:rPr>
          <w:rFonts w:cstheme="minorHAnsi"/>
          <w:b/>
        </w:rPr>
        <w:t>of</w:t>
      </w:r>
      <w:proofErr w:type="spellEnd"/>
      <w:r w:rsidRPr="002A7ABA">
        <w:rPr>
          <w:rFonts w:cstheme="minorHAnsi"/>
          <w:b/>
        </w:rPr>
        <w:t xml:space="preserve"> </w:t>
      </w:r>
      <w:proofErr w:type="spellStart"/>
      <w:r w:rsidRPr="002A7ABA">
        <w:rPr>
          <w:rFonts w:cstheme="minorHAnsi"/>
          <w:b/>
        </w:rPr>
        <w:t>intent</w:t>
      </w:r>
      <w:proofErr w:type="spellEnd"/>
      <w:r w:rsidRPr="002A7ABA">
        <w:rPr>
          <w:rFonts w:cstheme="minorHAnsi"/>
          <w:b/>
        </w:rPr>
        <w:t xml:space="preserve"> – Mgr. Michaela Daňková (</w:t>
      </w:r>
      <w:hyperlink r:id="rId9" w:history="1">
        <w:r w:rsidRPr="002A7ABA">
          <w:rPr>
            <w:rStyle w:val="Hypertextovodkaz"/>
            <w:rFonts w:cstheme="minorHAnsi"/>
            <w:b/>
          </w:rPr>
          <w:t>dankovam@vutbr.cz</w:t>
        </w:r>
      </w:hyperlink>
      <w:r w:rsidRPr="002A7ABA">
        <w:rPr>
          <w:rFonts w:cstheme="minorHAnsi"/>
          <w:b/>
        </w:rPr>
        <w:t>, kl. 4228)</w:t>
      </w:r>
    </w:p>
    <w:p w14:paraId="56EDCCCB" w14:textId="77777777" w:rsidR="00756314" w:rsidRPr="002A7ABA" w:rsidRDefault="00756314" w:rsidP="00756314">
      <w:pPr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Proces průběhu ochrany duševního vlastnictví</w:t>
      </w:r>
      <w:r>
        <w:rPr>
          <w:rFonts w:cstheme="minorHAnsi"/>
          <w:b/>
        </w:rPr>
        <w:t xml:space="preserve"> </w:t>
      </w:r>
      <w:r w:rsidRPr="002A7ABA">
        <w:rPr>
          <w:rFonts w:cstheme="minorHAnsi"/>
          <w:b/>
        </w:rPr>
        <w:t xml:space="preserve">– JUDr. Iva Horká </w:t>
      </w:r>
      <w:hyperlink r:id="rId10" w:history="1">
        <w:r w:rsidRPr="002A7ABA">
          <w:rPr>
            <w:rStyle w:val="Hypertextovodkaz"/>
            <w:rFonts w:cstheme="minorHAnsi"/>
            <w:b/>
          </w:rPr>
          <w:t>horka@vutbr.cz</w:t>
        </w:r>
      </w:hyperlink>
      <w:r w:rsidRPr="002A7ABA">
        <w:rPr>
          <w:rFonts w:cstheme="minorHAnsi"/>
          <w:b/>
        </w:rPr>
        <w:t>, kl.4225; Ing. Jana Ondroušková, Ph.</w:t>
      </w:r>
      <w:r w:rsidR="006B55A1">
        <w:rPr>
          <w:rFonts w:cstheme="minorHAnsi"/>
          <w:b/>
        </w:rPr>
        <w:t>D</w:t>
      </w:r>
      <w:r w:rsidRPr="002A7ABA">
        <w:rPr>
          <w:rFonts w:cstheme="minorHAnsi"/>
          <w:b/>
        </w:rPr>
        <w:t xml:space="preserve">. </w:t>
      </w:r>
      <w:hyperlink r:id="rId11" w:history="1">
        <w:r w:rsidRPr="002A7ABA">
          <w:rPr>
            <w:rStyle w:val="Hypertextovodkaz"/>
            <w:rFonts w:cstheme="minorHAnsi"/>
            <w:b/>
          </w:rPr>
          <w:t>jana.ondrouskova@vutbr.cz</w:t>
        </w:r>
      </w:hyperlink>
      <w:r w:rsidRPr="002A7ABA">
        <w:rPr>
          <w:rFonts w:cstheme="minorHAnsi"/>
          <w:b/>
        </w:rPr>
        <w:t xml:space="preserve"> , kl. 4224</w:t>
      </w:r>
      <w:r>
        <w:rPr>
          <w:rFonts w:cstheme="minorHAnsi"/>
          <w:b/>
        </w:rPr>
        <w:t>)</w:t>
      </w:r>
    </w:p>
    <w:p w14:paraId="7BD673F0" w14:textId="77777777" w:rsidR="00756314" w:rsidRDefault="00756314" w:rsidP="00756314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>Otázka DPH v projektech TAČR – Ing. Romana Sasková (</w:t>
      </w:r>
      <w:hyperlink r:id="rId12" w:history="1">
        <w:r w:rsidRPr="002A7ABA">
          <w:rPr>
            <w:rStyle w:val="Hypertextovodkaz"/>
            <w:rFonts w:cstheme="minorHAnsi"/>
            <w:b/>
          </w:rPr>
          <w:t>saskova@vutbr.cz</w:t>
        </w:r>
      </w:hyperlink>
      <w:r w:rsidRPr="002A7ABA">
        <w:rPr>
          <w:rFonts w:cstheme="minorHAnsi"/>
          <w:b/>
        </w:rPr>
        <w:t>, kl. 5356)</w:t>
      </w:r>
    </w:p>
    <w:p w14:paraId="6D2AC97A" w14:textId="77777777" w:rsidR="0057770F" w:rsidRPr="009660DC" w:rsidRDefault="00756314" w:rsidP="00756314">
      <w:pPr>
        <w:rPr>
          <w:rFonts w:cstheme="minorHAnsi"/>
          <w:b/>
        </w:rPr>
      </w:pPr>
      <w:r w:rsidRPr="00413EBE">
        <w:rPr>
          <w:b/>
        </w:rPr>
        <w:t>Zadání do APOLLA pod programem financování:</w:t>
      </w:r>
      <w:r w:rsidR="00413EBE" w:rsidRPr="00413EBE">
        <w:rPr>
          <w:b/>
        </w:rPr>
        <w:t xml:space="preserve"> SS070</w:t>
      </w:r>
    </w:p>
    <w:p w14:paraId="1D8040F0" w14:textId="77777777" w:rsidR="00756314" w:rsidRDefault="00756314" w:rsidP="0057770F">
      <w:pPr>
        <w:rPr>
          <w:rFonts w:cstheme="minorHAnsi"/>
          <w:b/>
          <w:i/>
          <w:color w:val="0070C0"/>
          <w:sz w:val="28"/>
          <w:szCs w:val="28"/>
        </w:rPr>
      </w:pPr>
    </w:p>
    <w:p w14:paraId="5C47F527" w14:textId="77777777" w:rsidR="00C10D9F" w:rsidRPr="009660DC" w:rsidRDefault="00C10D9F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Odkaz na soutěž:</w:t>
      </w:r>
    </w:p>
    <w:p w14:paraId="4F94BB53" w14:textId="77777777" w:rsidR="009F357C" w:rsidRPr="00756314" w:rsidRDefault="00C9112F" w:rsidP="004A64EB">
      <w:pPr>
        <w:jc w:val="both"/>
        <w:rPr>
          <w:rFonts w:cstheme="minorHAnsi"/>
          <w:b/>
          <w:color w:val="0070C0"/>
          <w:szCs w:val="28"/>
        </w:rPr>
      </w:pPr>
      <w:hyperlink r:id="rId13" w:history="1">
        <w:r w:rsidR="00756314" w:rsidRPr="00756314">
          <w:rPr>
            <w:rStyle w:val="Hypertextovodkaz"/>
            <w:rFonts w:cstheme="minorHAnsi"/>
            <w:b/>
            <w:szCs w:val="28"/>
          </w:rPr>
          <w:t>https://www.tacr.cz/soutez/program-prostredi-pro-zivot/sedma-verejna-soutez-2/</w:t>
        </w:r>
      </w:hyperlink>
      <w:r w:rsidR="00756314" w:rsidRPr="00756314">
        <w:rPr>
          <w:rFonts w:cstheme="minorHAnsi"/>
          <w:b/>
          <w:color w:val="0070C0"/>
          <w:szCs w:val="28"/>
        </w:rPr>
        <w:t xml:space="preserve"> </w:t>
      </w:r>
    </w:p>
    <w:p w14:paraId="17E3370C" w14:textId="77777777" w:rsidR="00756314" w:rsidRDefault="00756314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</w:p>
    <w:p w14:paraId="02C37D50" w14:textId="77777777" w:rsidR="0057770F" w:rsidRPr="009660DC" w:rsidRDefault="0057770F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Uchazeči:</w:t>
      </w:r>
    </w:p>
    <w:p w14:paraId="20AB1126" w14:textId="77777777" w:rsidR="00756314" w:rsidRDefault="00756314" w:rsidP="004A64EB">
      <w:pPr>
        <w:pStyle w:val="Odstavecseseznamem"/>
        <w:numPr>
          <w:ilvl w:val="0"/>
          <w:numId w:val="27"/>
        </w:numPr>
        <w:jc w:val="both"/>
      </w:pPr>
      <w:r w:rsidRPr="00372D69">
        <w:t>výzkumné organizace</w:t>
      </w:r>
      <w:r>
        <w:t xml:space="preserve"> </w:t>
      </w:r>
    </w:p>
    <w:p w14:paraId="5DBDA34A" w14:textId="77777777" w:rsidR="00756314" w:rsidRDefault="00756314" w:rsidP="004A64EB">
      <w:pPr>
        <w:pStyle w:val="Odstavecseseznamem"/>
        <w:numPr>
          <w:ilvl w:val="0"/>
          <w:numId w:val="27"/>
        </w:numPr>
        <w:jc w:val="both"/>
      </w:pPr>
      <w:r w:rsidRPr="00372D69">
        <w:t>podniky</w:t>
      </w:r>
    </w:p>
    <w:p w14:paraId="4F2E3F79" w14:textId="77777777" w:rsidR="007051F3" w:rsidRPr="007051F3" w:rsidRDefault="007051F3" w:rsidP="004A64EB">
      <w:pPr>
        <w:pStyle w:val="Odstavecseseznamem"/>
        <w:numPr>
          <w:ilvl w:val="0"/>
          <w:numId w:val="27"/>
        </w:numPr>
        <w:jc w:val="both"/>
      </w:pPr>
      <w:r>
        <w:t>organizační složky státu</w:t>
      </w:r>
    </w:p>
    <w:p w14:paraId="3C45ECE2" w14:textId="77777777" w:rsidR="00F3281D" w:rsidRPr="009660DC" w:rsidRDefault="00F3281D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lastRenderedPageBreak/>
        <w:t xml:space="preserve">Zaměření soutěže: </w:t>
      </w:r>
    </w:p>
    <w:p w14:paraId="619D7177" w14:textId="77777777" w:rsidR="00450019" w:rsidRPr="004A64EB" w:rsidRDefault="00450019" w:rsidP="004A64EB">
      <w:pPr>
        <w:jc w:val="both"/>
        <w:rPr>
          <w:rFonts w:cstheme="minorHAnsi"/>
          <w:b/>
        </w:rPr>
      </w:pPr>
      <w:r w:rsidRPr="004A64EB">
        <w:rPr>
          <w:rFonts w:cstheme="minorHAnsi"/>
          <w:b/>
        </w:rPr>
        <w:t xml:space="preserve">Podprogram 1 - Operativní výzkum ve veřejném zájmu (dále také jako „PP1”) </w:t>
      </w:r>
    </w:p>
    <w:p w14:paraId="7016DA7D" w14:textId="77777777" w:rsidR="007F213B" w:rsidRDefault="007F213B" w:rsidP="004A64EB">
      <w:pPr>
        <w:jc w:val="both"/>
      </w:pPr>
      <w:r>
        <w:t>Podprogram 1 je zaměřen na řešení témat s místními, regionálními a celospolečenskými dopady, jejichž výsledky jsou využitelné zejména ve veřejné správě (eGovernment, digitalizace, optimalizace regulace, snižování administrativní zátěže) a pro tvorbu, plnění a kontrolu strategických a koncepčních dokumentů. V rámci podprogramu 1 jsou podporovány návrhy projektů výzkumu a vývoje ve veřejném zájmu.</w:t>
      </w:r>
    </w:p>
    <w:p w14:paraId="37C8DBB5" w14:textId="77777777" w:rsidR="00450019" w:rsidRPr="004A64EB" w:rsidRDefault="00450019" w:rsidP="004A64EB">
      <w:pPr>
        <w:jc w:val="both"/>
        <w:rPr>
          <w:rFonts w:cstheme="minorHAnsi"/>
          <w:b/>
        </w:rPr>
      </w:pPr>
      <w:r w:rsidRPr="004A64EB">
        <w:rPr>
          <w:rFonts w:cstheme="minorHAnsi"/>
          <w:b/>
        </w:rPr>
        <w:t xml:space="preserve">Podprogram 2 - </w:t>
      </w:r>
      <w:proofErr w:type="spellStart"/>
      <w:r w:rsidRPr="004A64EB">
        <w:rPr>
          <w:rFonts w:cstheme="minorHAnsi"/>
          <w:b/>
        </w:rPr>
        <w:t>Ekoinovace</w:t>
      </w:r>
      <w:proofErr w:type="spellEnd"/>
      <w:r w:rsidRPr="004A64EB">
        <w:rPr>
          <w:rFonts w:cstheme="minorHAnsi"/>
          <w:b/>
        </w:rPr>
        <w:t xml:space="preserve">, technologie a postupy pro ochranu životního prostředí (dále také jako „PP2”) </w:t>
      </w:r>
    </w:p>
    <w:p w14:paraId="2FA1709E" w14:textId="77777777" w:rsidR="00F3281D" w:rsidRDefault="007F213B" w:rsidP="004A64EB">
      <w:pPr>
        <w:jc w:val="both"/>
        <w:rPr>
          <w:rFonts w:cstheme="minorHAnsi"/>
          <w:color w:val="000000"/>
          <w:sz w:val="24"/>
          <w:szCs w:val="24"/>
        </w:rPr>
      </w:pPr>
      <w:r>
        <w:t xml:space="preserve">V rámci podprogramu 2 budou podporovány především projekty zaměřené na environmentální technologie a </w:t>
      </w:r>
      <w:proofErr w:type="spellStart"/>
      <w:r>
        <w:t>ekoinovace</w:t>
      </w:r>
      <w:proofErr w:type="spellEnd"/>
      <w:r>
        <w:t>, projekty orientované na inovativní přístupy s praktickou využitelností zmírňující dopady klimatických změn, reflektující ochranu přírodních zdrojů a trendově orientované na aktuální výzvy v životním prostředí.</w:t>
      </w:r>
      <w:r w:rsidR="00F3281D" w:rsidRPr="009660DC">
        <w:rPr>
          <w:rFonts w:cstheme="minorHAnsi"/>
          <w:color w:val="000000"/>
          <w:sz w:val="24"/>
          <w:szCs w:val="24"/>
        </w:rPr>
        <w:br/>
      </w:r>
    </w:p>
    <w:p w14:paraId="5F6A2A46" w14:textId="77777777" w:rsidR="00450019" w:rsidRDefault="00450019" w:rsidP="004A64EB">
      <w:pPr>
        <w:jc w:val="both"/>
        <w:rPr>
          <w:b/>
          <w:color w:val="FF0000"/>
        </w:rPr>
      </w:pPr>
      <w:r w:rsidRPr="00450019">
        <w:rPr>
          <w:b/>
          <w:color w:val="FF0000"/>
        </w:rPr>
        <w:t>POZOR! Podprogram 2 je financován z Národního plánu obnovy, který má specifická pravidla.</w:t>
      </w:r>
    </w:p>
    <w:p w14:paraId="06E4A736" w14:textId="77777777" w:rsidR="00450019" w:rsidRPr="009F357C" w:rsidRDefault="00450019" w:rsidP="004A64EB">
      <w:pPr>
        <w:pStyle w:val="Odstavecseseznamem"/>
        <w:numPr>
          <w:ilvl w:val="0"/>
          <w:numId w:val="24"/>
        </w:numPr>
        <w:jc w:val="both"/>
        <w:rPr>
          <w:i/>
          <w:color w:val="FF0000"/>
        </w:rPr>
      </w:pPr>
      <w:r w:rsidRPr="009F357C">
        <w:rPr>
          <w:i/>
          <w:color w:val="FF0000"/>
        </w:rPr>
        <w:t xml:space="preserve">dodržování zásady „významně nepoškozovat“ </w:t>
      </w:r>
    </w:p>
    <w:p w14:paraId="0CEF65B0" w14:textId="77777777" w:rsidR="00450019" w:rsidRPr="009F357C" w:rsidRDefault="00450019" w:rsidP="004A64EB">
      <w:pPr>
        <w:pStyle w:val="Odstavecseseznamem"/>
        <w:numPr>
          <w:ilvl w:val="0"/>
          <w:numId w:val="24"/>
        </w:numPr>
        <w:jc w:val="both"/>
        <w:rPr>
          <w:i/>
          <w:color w:val="FF0000"/>
        </w:rPr>
      </w:pPr>
      <w:r w:rsidRPr="009F357C">
        <w:rPr>
          <w:i/>
          <w:color w:val="FF0000"/>
        </w:rPr>
        <w:t>plnění povinné publicity</w:t>
      </w:r>
      <w:r w:rsidR="00552543">
        <w:rPr>
          <w:i/>
          <w:color w:val="FF0000"/>
        </w:rPr>
        <w:t xml:space="preserve"> NPO</w:t>
      </w:r>
      <w:r w:rsidRPr="009F357C">
        <w:rPr>
          <w:i/>
          <w:color w:val="FF0000"/>
        </w:rPr>
        <w:t xml:space="preserve">; </w:t>
      </w:r>
    </w:p>
    <w:p w14:paraId="571CC4B6" w14:textId="77777777" w:rsidR="00450019" w:rsidRPr="009F357C" w:rsidRDefault="00450019" w:rsidP="004A64EB">
      <w:pPr>
        <w:pStyle w:val="Odstavecseseznamem"/>
        <w:numPr>
          <w:ilvl w:val="0"/>
          <w:numId w:val="24"/>
        </w:numPr>
        <w:jc w:val="both"/>
        <w:rPr>
          <w:i/>
          <w:color w:val="FF0000"/>
        </w:rPr>
      </w:pPr>
      <w:r w:rsidRPr="009F357C">
        <w:rPr>
          <w:i/>
          <w:color w:val="FF0000"/>
        </w:rPr>
        <w:t>DPH není způsobilý výdaj;</w:t>
      </w:r>
    </w:p>
    <w:p w14:paraId="05B367AB" w14:textId="77777777" w:rsidR="00450019" w:rsidRPr="009F357C" w:rsidRDefault="00450019" w:rsidP="004A64EB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9F357C">
        <w:rPr>
          <w:i/>
          <w:color w:val="FF0000"/>
        </w:rPr>
        <w:t>vyloučení střetu zájmů</w:t>
      </w:r>
      <w:r w:rsidR="00552543">
        <w:rPr>
          <w:i/>
          <w:color w:val="FF0000"/>
        </w:rPr>
        <w:t>;</w:t>
      </w:r>
    </w:p>
    <w:p w14:paraId="4E9CADAA" w14:textId="77777777" w:rsidR="007F213B" w:rsidRDefault="007F213B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</w:p>
    <w:p w14:paraId="6BBF227B" w14:textId="77777777" w:rsidR="00D66035" w:rsidRPr="009660DC" w:rsidRDefault="00A01D4F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A01D4F">
        <w:rPr>
          <w:rFonts w:cstheme="minorHAnsi"/>
          <w:b/>
          <w:i/>
          <w:color w:val="0070C0"/>
          <w:sz w:val="28"/>
          <w:szCs w:val="28"/>
        </w:rPr>
        <w:t>Aplikování výstupů a výsledků</w:t>
      </w:r>
      <w:r w:rsidR="00D66035" w:rsidRPr="009660DC">
        <w:rPr>
          <w:rFonts w:cstheme="minorHAnsi"/>
          <w:b/>
          <w:i/>
          <w:color w:val="0070C0"/>
          <w:sz w:val="28"/>
          <w:szCs w:val="28"/>
        </w:rPr>
        <w:t>:</w:t>
      </w:r>
    </w:p>
    <w:p w14:paraId="1E9AACB7" w14:textId="77777777" w:rsidR="00A01D4F" w:rsidRPr="00A01D4F" w:rsidRDefault="00A01D4F" w:rsidP="004A64EB">
      <w:pPr>
        <w:jc w:val="both"/>
        <w:rPr>
          <w:rFonts w:cstheme="minorHAnsi"/>
          <w:b/>
        </w:rPr>
      </w:pPr>
      <w:r w:rsidRPr="00A01D4F">
        <w:rPr>
          <w:rFonts w:cstheme="minorHAnsi"/>
          <w:b/>
        </w:rPr>
        <w:t>Podprogram 1 - Operativní výzkum ve veřejném zájmu</w:t>
      </w:r>
    </w:p>
    <w:p w14:paraId="2EE0AED7" w14:textId="77777777" w:rsidR="007F213B" w:rsidRDefault="007F213B" w:rsidP="004A64EB">
      <w:pPr>
        <w:jc w:val="both"/>
        <w:rPr>
          <w:b/>
        </w:rPr>
      </w:pPr>
      <w:r>
        <w:t xml:space="preserve">V podprogramu 1 je povinnost mít jednoho aplikačního garanta ze seznamu uvedeném v příloze č. 1 - Prioritní výzkumné cíle. Uchazeč si zvolí jeden PVC dle zaměření návrhu projektu a tím je zároveň určena kontaktní osoba, která doporučí, jaký aplikační garant je vhodný pro návrh projektu. V příloze č. 1 - Prioritní výzkumné cíle jsou uvedeny PVC spolu se seznamem kontaktních osob a aplikačních garantů. </w:t>
      </w:r>
      <w:r w:rsidRPr="007F213B">
        <w:rPr>
          <w:b/>
        </w:rPr>
        <w:t>Každý subjekt plnící roli aplikačního garanta musí splňovat podmínky dané touto zadávací dokumentací a přílohou č. 3 - Aplikační garant v podprogramu 1 a zároveň nesmí být v návrhu projektu hlavním uchazečem ani dalším účastníkem.</w:t>
      </w:r>
    </w:p>
    <w:p w14:paraId="7CA03715" w14:textId="77777777" w:rsidR="007F213B" w:rsidRPr="007F213B" w:rsidRDefault="007F213B" w:rsidP="004A64EB">
      <w:pPr>
        <w:jc w:val="both"/>
        <w:rPr>
          <w:b/>
          <w:color w:val="FF0000"/>
        </w:rPr>
      </w:pPr>
      <w:r w:rsidRPr="007F213B">
        <w:rPr>
          <w:b/>
          <w:color w:val="FF0000"/>
        </w:rPr>
        <w:t xml:space="preserve">Informace k zasílání žádostí o potvrzení zájmu o výstupy/výsledky </w:t>
      </w:r>
    </w:p>
    <w:p w14:paraId="296E1DB0" w14:textId="77777777" w:rsidR="007F213B" w:rsidRPr="007F213B" w:rsidRDefault="007F213B" w:rsidP="004A64EB">
      <w:pPr>
        <w:jc w:val="both"/>
        <w:rPr>
          <w:color w:val="FF0000"/>
        </w:rPr>
      </w:pPr>
      <w:r w:rsidRPr="007F213B">
        <w:rPr>
          <w:color w:val="FF0000"/>
        </w:rPr>
        <w:t xml:space="preserve">Žádost o aplikační </w:t>
      </w:r>
      <w:proofErr w:type="spellStart"/>
      <w:r w:rsidRPr="007F213B">
        <w:rPr>
          <w:color w:val="FF0000"/>
        </w:rPr>
        <w:t>garantství</w:t>
      </w:r>
      <w:proofErr w:type="spellEnd"/>
      <w:r w:rsidRPr="007F213B">
        <w:rPr>
          <w:color w:val="FF0000"/>
        </w:rPr>
        <w:t xml:space="preserve"> zasílejte na email, který je uveden u daného PVC v příloze č. 1 - Prioritní výzkumné cíle. V některých případech se žádost zasílá také v kopii na zastupující osobu (pokud je tak uvedeno u daného kontaktu). Pro rychlejší vyřízení žádosti zasílejte email vždy pro každý návrh projektu zvlášť (např. pokud požadujete aplikační garanci ke třem návrhům projektů, zašlete tři emaily) a do předmětu emailu uveďte: „PPŽ – název návrhu projektu (případně kód projektu)“. Doporučujeme zaslat rovnou návrh „Potvrzení zájmu externího aplikačního garanta o využití výsledků" spolu s anotací projektu. Své žádosti zasílejte do 24. srpna 2023, po tomto termínu již není možné garantovat jejich vyřízení</w:t>
      </w:r>
    </w:p>
    <w:p w14:paraId="0075A290" w14:textId="77777777" w:rsidR="007F213B" w:rsidRPr="007F213B" w:rsidRDefault="007F213B" w:rsidP="004A64EB">
      <w:pPr>
        <w:jc w:val="both"/>
        <w:rPr>
          <w:color w:val="FF0000"/>
        </w:rPr>
      </w:pPr>
      <w:r w:rsidRPr="007F213B">
        <w:rPr>
          <w:color w:val="FF0000"/>
        </w:rPr>
        <w:lastRenderedPageBreak/>
        <w:t xml:space="preserve">Zájem aplikačního garanta o výstupy/výsledky návrhu projektu se prokazuje povinnou přílohou. Tato příloha může mít formu např. </w:t>
      </w:r>
      <w:proofErr w:type="spellStart"/>
      <w:r w:rsidRPr="007F213B">
        <w:rPr>
          <w:color w:val="FF0000"/>
        </w:rPr>
        <w:t>Letter</w:t>
      </w:r>
      <w:proofErr w:type="spellEnd"/>
      <w:r w:rsidRPr="007F213B">
        <w:rPr>
          <w:color w:val="FF0000"/>
        </w:rPr>
        <w:t xml:space="preserve"> </w:t>
      </w:r>
      <w:proofErr w:type="spellStart"/>
      <w:r w:rsidRPr="007F213B">
        <w:rPr>
          <w:color w:val="FF0000"/>
        </w:rPr>
        <w:t>of</w:t>
      </w:r>
      <w:proofErr w:type="spellEnd"/>
      <w:r w:rsidRPr="007F213B">
        <w:rPr>
          <w:color w:val="FF0000"/>
        </w:rPr>
        <w:t xml:space="preserve"> </w:t>
      </w:r>
      <w:proofErr w:type="spellStart"/>
      <w:r w:rsidRPr="007F213B">
        <w:rPr>
          <w:color w:val="FF0000"/>
        </w:rPr>
        <w:t>Intent</w:t>
      </w:r>
      <w:proofErr w:type="spellEnd"/>
      <w:r w:rsidRPr="007F213B">
        <w:rPr>
          <w:color w:val="FF0000"/>
        </w:rPr>
        <w:t xml:space="preserve"> (dopis o záměru), smlouva o využití výsledků, smlouva o smlouvě budoucí, memorandum.</w:t>
      </w:r>
    </w:p>
    <w:p w14:paraId="3BEA1593" w14:textId="77777777" w:rsidR="00A01D4F" w:rsidRPr="00A01D4F" w:rsidRDefault="00A01D4F" w:rsidP="004A64EB">
      <w:pPr>
        <w:jc w:val="both"/>
        <w:rPr>
          <w:b/>
        </w:rPr>
      </w:pPr>
      <w:r w:rsidRPr="00A01D4F">
        <w:rPr>
          <w:b/>
        </w:rPr>
        <w:t xml:space="preserve">Podprogram 2 - </w:t>
      </w:r>
      <w:proofErr w:type="spellStart"/>
      <w:r w:rsidRPr="00A01D4F">
        <w:rPr>
          <w:b/>
        </w:rPr>
        <w:t>Ekoinovace</w:t>
      </w:r>
      <w:proofErr w:type="spellEnd"/>
      <w:r w:rsidRPr="00A01D4F">
        <w:rPr>
          <w:b/>
        </w:rPr>
        <w:t xml:space="preserve">, technologie a postupy pro ochranu životního prostředí </w:t>
      </w:r>
    </w:p>
    <w:p w14:paraId="1E4A8923" w14:textId="77777777" w:rsidR="007F213B" w:rsidRDefault="007F213B" w:rsidP="004A64EB">
      <w:pPr>
        <w:jc w:val="both"/>
      </w:pPr>
      <w:r>
        <w:t>Vzhledem k zaměření podprogramu 2 je třeba, aby byla uplatnitelnost výstupů/výsledků v návrhu projektu prokázána následovně:</w:t>
      </w:r>
    </w:p>
    <w:p w14:paraId="2C7BD5C3" w14:textId="77777777" w:rsidR="007051F3" w:rsidRDefault="007F213B" w:rsidP="004A64EB">
      <w:pPr>
        <w:pStyle w:val="Odstavecseseznamem"/>
        <w:numPr>
          <w:ilvl w:val="0"/>
          <w:numId w:val="24"/>
        </w:numPr>
        <w:jc w:val="both"/>
      </w:pPr>
      <w:r>
        <w:t xml:space="preserve">plánované výstupy/výsledky návrhu projektu má zájem konkrétní subjekt (může jím být např. podnik, jiný soukromoprávní subjekt nebo subjekt veřejné správy); </w:t>
      </w:r>
    </w:p>
    <w:p w14:paraId="25C46FB6" w14:textId="77777777" w:rsidR="007051F3" w:rsidRDefault="007F213B" w:rsidP="004A64EB">
      <w:pPr>
        <w:pStyle w:val="Odstavecseseznamem"/>
        <w:numPr>
          <w:ilvl w:val="0"/>
          <w:numId w:val="24"/>
        </w:numPr>
        <w:jc w:val="both"/>
      </w:pPr>
      <w:r>
        <w:t xml:space="preserve">projevený zájem subjektu je navázán na konkrétní výstupy/výsledky popsané v návrhu projektu; </w:t>
      </w:r>
    </w:p>
    <w:p w14:paraId="7BFE52BC" w14:textId="77777777" w:rsidR="007F213B" w:rsidRDefault="007F213B" w:rsidP="004A64EB">
      <w:pPr>
        <w:pStyle w:val="Odstavecseseznamem"/>
        <w:numPr>
          <w:ilvl w:val="0"/>
          <w:numId w:val="24"/>
        </w:numPr>
        <w:jc w:val="both"/>
      </w:pPr>
      <w:r>
        <w:t xml:space="preserve">součástí aplikování výstupů/výsledků je i příslib spolupráce jakéhokoliv subjektu při zavádění výstupu/výsledku do praxe (např. příslib pilotního testování, certifikace, poskytnutí součinnosti). </w:t>
      </w:r>
    </w:p>
    <w:p w14:paraId="66B8EA49" w14:textId="77777777" w:rsidR="00A01D4F" w:rsidRDefault="007F213B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>
        <w:t>Uplatnitelnost výstupů/výsledků podle předchozích bodů uchazeči jednak popíší přímo v textu návrhu projektu, jednak vyplývá z průzkumu trhu (více v kapitole 3.3.), případně může být doložena nepovinnou přílohou návrhu projektu (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nebo obdobný dokument). </w:t>
      </w:r>
    </w:p>
    <w:p w14:paraId="5F00D340" w14:textId="77777777" w:rsidR="00D33814" w:rsidRDefault="00D33814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</w:p>
    <w:p w14:paraId="3DB52B32" w14:textId="77777777" w:rsidR="0057770F" w:rsidRPr="009660DC" w:rsidRDefault="0057770F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Základní finanční údaje</w:t>
      </w:r>
    </w:p>
    <w:p w14:paraId="6A46FB0C" w14:textId="77777777" w:rsidR="0057770F" w:rsidRPr="00F71A82" w:rsidRDefault="0057770F" w:rsidP="004A64EB">
      <w:pPr>
        <w:spacing w:line="100" w:lineRule="atLeast"/>
        <w:jc w:val="both"/>
        <w:rPr>
          <w:rFonts w:cstheme="minorHAnsi"/>
          <w:b/>
        </w:rPr>
      </w:pPr>
      <w:r w:rsidRPr="009660DC">
        <w:rPr>
          <w:rFonts w:cstheme="minorHAnsi"/>
        </w:rPr>
        <w:t>Alokace soutěže</w:t>
      </w:r>
      <w:r w:rsidR="00F71A82">
        <w:rPr>
          <w:rFonts w:cstheme="minorHAnsi"/>
        </w:rPr>
        <w:t>:</w:t>
      </w:r>
      <w:r w:rsidRPr="009660DC">
        <w:rPr>
          <w:rFonts w:cstheme="minorHAnsi"/>
        </w:rPr>
        <w:t xml:space="preserve"> </w:t>
      </w:r>
      <w:r w:rsidR="00F71A82">
        <w:rPr>
          <w:rFonts w:cstheme="minorHAnsi"/>
        </w:rPr>
        <w:tab/>
      </w:r>
      <w:r w:rsidR="00CD1210" w:rsidRPr="00F71A82">
        <w:rPr>
          <w:rFonts w:cstheme="minorHAnsi"/>
          <w:b/>
        </w:rPr>
        <w:t xml:space="preserve">Podprogram </w:t>
      </w:r>
      <w:proofErr w:type="gramStart"/>
      <w:r w:rsidR="00CD1210" w:rsidRPr="00F71A82">
        <w:rPr>
          <w:rFonts w:cstheme="minorHAnsi"/>
          <w:b/>
        </w:rPr>
        <w:t>1</w:t>
      </w:r>
      <w:r w:rsidR="00B723D0" w:rsidRPr="00F71A82">
        <w:rPr>
          <w:rFonts w:cstheme="minorHAnsi"/>
          <w:b/>
        </w:rPr>
        <w:t xml:space="preserve"> </w:t>
      </w:r>
      <w:r w:rsidRPr="00F71A82">
        <w:rPr>
          <w:rFonts w:cstheme="minorHAnsi"/>
          <w:b/>
        </w:rPr>
        <w:t xml:space="preserve">- </w:t>
      </w:r>
      <w:r w:rsidR="00D33814">
        <w:rPr>
          <w:rFonts w:cstheme="minorHAnsi"/>
          <w:b/>
        </w:rPr>
        <w:t>523</w:t>
      </w:r>
      <w:proofErr w:type="gramEnd"/>
      <w:r w:rsidRPr="00F71A82">
        <w:rPr>
          <w:rFonts w:cstheme="minorHAnsi"/>
          <w:b/>
        </w:rPr>
        <w:t xml:space="preserve"> mil. Kč</w:t>
      </w:r>
      <w:r w:rsidR="00B723D0" w:rsidRPr="00F71A82">
        <w:rPr>
          <w:rFonts w:cstheme="minorHAnsi"/>
          <w:b/>
        </w:rPr>
        <w:t xml:space="preserve"> </w:t>
      </w:r>
    </w:p>
    <w:p w14:paraId="4019EC0D" w14:textId="77777777" w:rsidR="00F71A82" w:rsidRPr="009660DC" w:rsidRDefault="00F71A82" w:rsidP="004A64EB">
      <w:pPr>
        <w:spacing w:line="1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Podprogram </w:t>
      </w:r>
      <w:proofErr w:type="gramStart"/>
      <w:r>
        <w:rPr>
          <w:rFonts w:cstheme="minorHAnsi"/>
          <w:b/>
        </w:rPr>
        <w:t xml:space="preserve">2 – </w:t>
      </w:r>
      <w:r w:rsidR="00D33814">
        <w:rPr>
          <w:rFonts w:cstheme="minorHAnsi"/>
          <w:b/>
        </w:rPr>
        <w:t>450</w:t>
      </w:r>
      <w:proofErr w:type="gramEnd"/>
      <w:r>
        <w:rPr>
          <w:rFonts w:cstheme="minorHAnsi"/>
          <w:b/>
        </w:rPr>
        <w:t xml:space="preserve"> mil. Kč</w:t>
      </w:r>
    </w:p>
    <w:p w14:paraId="3D818FC1" w14:textId="77777777" w:rsidR="0057770F" w:rsidRDefault="0057770F" w:rsidP="004A64EB">
      <w:pPr>
        <w:spacing w:line="100" w:lineRule="atLeast"/>
        <w:jc w:val="both"/>
        <w:rPr>
          <w:rFonts w:cstheme="minorHAnsi"/>
          <w:b/>
        </w:rPr>
      </w:pPr>
      <w:r w:rsidRPr="009660DC">
        <w:rPr>
          <w:rFonts w:cstheme="minorHAnsi"/>
        </w:rPr>
        <w:t>Maximální částka podpory na jeden projekt</w:t>
      </w:r>
      <w:r w:rsidR="00AD3531">
        <w:rPr>
          <w:rFonts w:cstheme="minorHAnsi"/>
        </w:rPr>
        <w:t xml:space="preserve"> </w:t>
      </w:r>
      <w:r w:rsidR="00AD3531">
        <w:rPr>
          <w:rFonts w:cstheme="minorHAnsi"/>
        </w:rPr>
        <w:tab/>
      </w:r>
      <w:r w:rsidR="00AD3531" w:rsidRPr="00756314">
        <w:rPr>
          <w:rFonts w:cstheme="minorHAnsi"/>
          <w:b/>
        </w:rPr>
        <w:t>PP1</w:t>
      </w:r>
      <w:r w:rsidR="007F213B">
        <w:rPr>
          <w:rFonts w:cstheme="minorHAnsi"/>
          <w:b/>
        </w:rPr>
        <w:t xml:space="preserve"> </w:t>
      </w:r>
      <w:r w:rsidR="009A6497" w:rsidRPr="00756314">
        <w:rPr>
          <w:rFonts w:cstheme="minorHAnsi"/>
          <w:b/>
        </w:rPr>
        <w:t>- 1</w:t>
      </w:r>
      <w:r w:rsidR="007F213B">
        <w:rPr>
          <w:rFonts w:cstheme="minorHAnsi"/>
          <w:b/>
        </w:rPr>
        <w:t>5</w:t>
      </w:r>
      <w:r w:rsidRPr="009660DC">
        <w:rPr>
          <w:rFonts w:cstheme="minorHAnsi"/>
          <w:b/>
        </w:rPr>
        <w:t xml:space="preserve"> mil. Kč</w:t>
      </w:r>
    </w:p>
    <w:p w14:paraId="2E74C192" w14:textId="77777777" w:rsidR="00AD3531" w:rsidRPr="009660DC" w:rsidRDefault="00AD3531" w:rsidP="004A64EB">
      <w:pPr>
        <w:spacing w:line="1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PP2</w:t>
      </w:r>
      <w:r w:rsidR="007F213B">
        <w:rPr>
          <w:rFonts w:cstheme="minorHAnsi"/>
          <w:b/>
        </w:rPr>
        <w:t xml:space="preserve"> - </w:t>
      </w:r>
      <w:r>
        <w:rPr>
          <w:rFonts w:cstheme="minorHAnsi"/>
          <w:b/>
        </w:rPr>
        <w:t>1</w:t>
      </w:r>
      <w:r w:rsidR="007F213B">
        <w:rPr>
          <w:rFonts w:cstheme="minorHAnsi"/>
          <w:b/>
        </w:rPr>
        <w:t>5</w:t>
      </w:r>
      <w:r>
        <w:rPr>
          <w:rFonts w:cstheme="minorHAnsi"/>
          <w:b/>
        </w:rPr>
        <w:t xml:space="preserve"> mil. Kč</w:t>
      </w:r>
    </w:p>
    <w:p w14:paraId="5032CB70" w14:textId="77777777" w:rsidR="0057770F" w:rsidRDefault="0057770F" w:rsidP="004A64EB">
      <w:pPr>
        <w:spacing w:line="100" w:lineRule="atLeast"/>
        <w:jc w:val="both"/>
        <w:rPr>
          <w:rFonts w:cstheme="minorHAnsi"/>
          <w:b/>
        </w:rPr>
      </w:pPr>
      <w:r w:rsidRPr="009660DC">
        <w:rPr>
          <w:rFonts w:cstheme="minorHAnsi"/>
        </w:rPr>
        <w:t>Maximální intenzita podpory na projekt</w:t>
      </w:r>
      <w:r w:rsidR="00AD3531">
        <w:rPr>
          <w:rFonts w:cstheme="minorHAnsi"/>
        </w:rPr>
        <w:t xml:space="preserve"> </w:t>
      </w:r>
      <w:r w:rsidR="00AD3531">
        <w:rPr>
          <w:rFonts w:cstheme="minorHAnsi"/>
        </w:rPr>
        <w:tab/>
      </w:r>
      <w:r w:rsidR="00AD3531" w:rsidRPr="00756314">
        <w:rPr>
          <w:rFonts w:cstheme="minorHAnsi"/>
          <w:b/>
        </w:rPr>
        <w:t xml:space="preserve">PP1 </w:t>
      </w:r>
      <w:proofErr w:type="gramStart"/>
      <w:r w:rsidR="00AD3531" w:rsidRPr="00756314">
        <w:rPr>
          <w:rFonts w:cstheme="minorHAnsi"/>
          <w:b/>
        </w:rPr>
        <w:t xml:space="preserve">- </w:t>
      </w:r>
      <w:r w:rsidR="000A264A" w:rsidRPr="00756314">
        <w:rPr>
          <w:rFonts w:cstheme="minorHAnsi"/>
          <w:b/>
        </w:rPr>
        <w:t xml:space="preserve"> </w:t>
      </w:r>
      <w:r w:rsidR="009A6497" w:rsidRPr="00756314">
        <w:rPr>
          <w:rFonts w:cstheme="minorHAnsi"/>
          <w:b/>
        </w:rPr>
        <w:t>85</w:t>
      </w:r>
      <w:proofErr w:type="gramEnd"/>
      <w:r w:rsidRPr="00986FDE">
        <w:rPr>
          <w:rFonts w:cstheme="minorHAnsi"/>
          <w:b/>
        </w:rPr>
        <w:t xml:space="preserve"> %</w:t>
      </w:r>
    </w:p>
    <w:p w14:paraId="47B379E1" w14:textId="77777777" w:rsidR="00AD3531" w:rsidRPr="00986FDE" w:rsidRDefault="00AD3531" w:rsidP="004A64EB">
      <w:pPr>
        <w:spacing w:line="1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PP2 – 80%</w:t>
      </w:r>
    </w:p>
    <w:p w14:paraId="4B577FAF" w14:textId="77777777" w:rsidR="00D66035" w:rsidRPr="009660DC" w:rsidRDefault="00D66035" w:rsidP="004A64EB">
      <w:pPr>
        <w:spacing w:line="100" w:lineRule="atLeast"/>
        <w:jc w:val="both"/>
        <w:rPr>
          <w:rFonts w:cstheme="minorHAnsi"/>
          <w:b/>
        </w:rPr>
      </w:pPr>
      <w:r w:rsidRPr="009660DC">
        <w:rPr>
          <w:rFonts w:cstheme="minorHAnsi"/>
          <w:b/>
        </w:rPr>
        <w:t xml:space="preserve">Maximální intenzita podpory pro výzkumnou organizaci </w:t>
      </w:r>
      <w:proofErr w:type="gramStart"/>
      <w:r w:rsidRPr="009660DC">
        <w:rPr>
          <w:rFonts w:cstheme="minorHAnsi"/>
          <w:b/>
        </w:rPr>
        <w:t>-  100</w:t>
      </w:r>
      <w:proofErr w:type="gramEnd"/>
      <w:r w:rsidRPr="009660DC">
        <w:rPr>
          <w:rFonts w:cstheme="minorHAnsi"/>
          <w:b/>
        </w:rPr>
        <w:t>%</w:t>
      </w:r>
    </w:p>
    <w:p w14:paraId="76CA3955" w14:textId="77777777" w:rsidR="00421000" w:rsidRPr="009660DC" w:rsidRDefault="00421000" w:rsidP="004A64EB">
      <w:pPr>
        <w:spacing w:line="100" w:lineRule="atLeast"/>
        <w:jc w:val="both"/>
        <w:rPr>
          <w:rFonts w:cstheme="minorHAnsi"/>
          <w:b/>
        </w:rPr>
      </w:pPr>
    </w:p>
    <w:p w14:paraId="47066D23" w14:textId="77777777" w:rsidR="00421000" w:rsidRPr="009660DC" w:rsidRDefault="00421000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Způsobilé náklady</w:t>
      </w:r>
      <w:r w:rsidR="00A24015" w:rsidRPr="009660DC">
        <w:rPr>
          <w:rFonts w:cstheme="minorHAnsi"/>
          <w:b/>
          <w:i/>
          <w:color w:val="0070C0"/>
          <w:sz w:val="28"/>
          <w:szCs w:val="28"/>
        </w:rPr>
        <w:t>:</w:t>
      </w:r>
      <w:r w:rsidRPr="009660DC">
        <w:rPr>
          <w:rFonts w:cstheme="minorHAnsi"/>
          <w:b/>
          <w:i/>
          <w:color w:val="0070C0"/>
          <w:sz w:val="28"/>
          <w:szCs w:val="28"/>
        </w:rPr>
        <w:t xml:space="preserve">  </w:t>
      </w:r>
    </w:p>
    <w:p w14:paraId="5C95A9E9" w14:textId="77777777" w:rsidR="00421000" w:rsidRPr="009660DC" w:rsidRDefault="00421000" w:rsidP="004A64EB">
      <w:pPr>
        <w:pStyle w:val="Default"/>
        <w:numPr>
          <w:ilvl w:val="0"/>
          <w:numId w:val="1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>osobní ná</w:t>
      </w:r>
      <w:r w:rsidR="00A24015" w:rsidRPr="009660DC">
        <w:rPr>
          <w:rFonts w:asciiTheme="minorHAnsi" w:hAnsiTheme="minorHAnsi" w:cstheme="minorHAnsi"/>
          <w:sz w:val="22"/>
          <w:szCs w:val="22"/>
        </w:rPr>
        <w:t>klady</w:t>
      </w:r>
      <w:r w:rsidRPr="009660D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4A43372" w14:textId="77777777" w:rsidR="00421000" w:rsidRPr="009660DC" w:rsidRDefault="00421000" w:rsidP="004A64EB">
      <w:pPr>
        <w:pStyle w:val="Default"/>
        <w:numPr>
          <w:ilvl w:val="0"/>
          <w:numId w:val="1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14:paraId="5A569A84" w14:textId="77777777" w:rsidR="00421000" w:rsidRPr="009660DC" w:rsidRDefault="00421000" w:rsidP="004A64EB">
      <w:pPr>
        <w:pStyle w:val="Default"/>
        <w:numPr>
          <w:ilvl w:val="0"/>
          <w:numId w:val="1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4772AEC4" w14:textId="77777777" w:rsidR="00421000" w:rsidRPr="009660DC" w:rsidRDefault="00421000" w:rsidP="004A64E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>nepřímé náklady</w:t>
      </w:r>
      <w:r w:rsidR="00D33814">
        <w:rPr>
          <w:rFonts w:asciiTheme="minorHAnsi" w:hAnsiTheme="minorHAnsi" w:cstheme="minorHAnsi"/>
          <w:sz w:val="22"/>
          <w:szCs w:val="22"/>
        </w:rPr>
        <w:t xml:space="preserve"> – full </w:t>
      </w:r>
      <w:proofErr w:type="spellStart"/>
      <w:r w:rsidR="00D33814">
        <w:rPr>
          <w:rFonts w:asciiTheme="minorHAnsi" w:hAnsiTheme="minorHAnsi" w:cstheme="minorHAnsi"/>
          <w:sz w:val="22"/>
          <w:szCs w:val="22"/>
        </w:rPr>
        <w:t>cost</w:t>
      </w:r>
      <w:proofErr w:type="spellEnd"/>
      <w:r w:rsidR="00D33814">
        <w:rPr>
          <w:rFonts w:asciiTheme="minorHAnsi" w:hAnsiTheme="minorHAnsi" w:cstheme="minorHAnsi"/>
          <w:sz w:val="22"/>
          <w:szCs w:val="22"/>
        </w:rPr>
        <w:t xml:space="preserve"> nebo </w:t>
      </w:r>
      <w:proofErr w:type="spellStart"/>
      <w:r w:rsidR="00D33814">
        <w:rPr>
          <w:rFonts w:asciiTheme="minorHAnsi" w:hAnsiTheme="minorHAnsi" w:cstheme="minorHAnsi"/>
          <w:sz w:val="22"/>
          <w:szCs w:val="22"/>
        </w:rPr>
        <w:t>flat</w:t>
      </w:r>
      <w:proofErr w:type="spellEnd"/>
      <w:r w:rsidR="00D338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3814">
        <w:rPr>
          <w:rFonts w:asciiTheme="minorHAnsi" w:hAnsiTheme="minorHAnsi" w:cstheme="minorHAnsi"/>
          <w:sz w:val="22"/>
          <w:szCs w:val="22"/>
        </w:rPr>
        <w:t>rate</w:t>
      </w:r>
      <w:proofErr w:type="spellEnd"/>
      <w:r w:rsidR="00D33814">
        <w:rPr>
          <w:rFonts w:asciiTheme="minorHAnsi" w:hAnsiTheme="minorHAnsi" w:cstheme="minorHAnsi"/>
          <w:sz w:val="22"/>
          <w:szCs w:val="22"/>
        </w:rPr>
        <w:t xml:space="preserve"> do výše </w:t>
      </w:r>
      <w:proofErr w:type="gramStart"/>
      <w:r w:rsidR="00D33814">
        <w:rPr>
          <w:rFonts w:asciiTheme="minorHAnsi" w:hAnsiTheme="minorHAnsi" w:cstheme="minorHAnsi"/>
          <w:sz w:val="22"/>
          <w:szCs w:val="22"/>
        </w:rPr>
        <w:t>25%</w:t>
      </w:r>
      <w:proofErr w:type="gramEnd"/>
      <w:r w:rsidRPr="009660D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A775DD" w14:textId="77777777" w:rsidR="00E85449" w:rsidRDefault="00E85449" w:rsidP="004A64EB">
      <w:pPr>
        <w:jc w:val="both"/>
        <w:rPr>
          <w:rFonts w:cstheme="minorHAnsi"/>
          <w:b/>
          <w:color w:val="FF0000"/>
        </w:rPr>
      </w:pPr>
    </w:p>
    <w:p w14:paraId="54615EE6" w14:textId="77777777" w:rsidR="00894BEB" w:rsidRDefault="00837385" w:rsidP="004A64EB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V</w:t>
      </w:r>
      <w:r w:rsidRPr="00837385">
        <w:rPr>
          <w:rFonts w:cstheme="minorHAnsi"/>
          <w:b/>
          <w:color w:val="FF0000"/>
        </w:rPr>
        <w:t xml:space="preserve"> podprogramu 2 </w:t>
      </w:r>
      <w:r>
        <w:rPr>
          <w:rFonts w:cstheme="minorHAnsi"/>
          <w:b/>
          <w:color w:val="FF0000"/>
        </w:rPr>
        <w:t>není způsobilá</w:t>
      </w:r>
      <w:r w:rsidRPr="00837385">
        <w:rPr>
          <w:rFonts w:cstheme="minorHAnsi"/>
          <w:b/>
          <w:color w:val="FF0000"/>
        </w:rPr>
        <w:t xml:space="preserve"> </w:t>
      </w:r>
      <w:r w:rsidR="006B55A1">
        <w:rPr>
          <w:rFonts w:cstheme="minorHAnsi"/>
          <w:b/>
          <w:color w:val="FF0000"/>
        </w:rPr>
        <w:t>DPH</w:t>
      </w:r>
      <w:r>
        <w:rPr>
          <w:rFonts w:cstheme="minorHAnsi"/>
          <w:b/>
          <w:color w:val="FF0000"/>
        </w:rPr>
        <w:t>!</w:t>
      </w:r>
    </w:p>
    <w:p w14:paraId="36827F90" w14:textId="77777777" w:rsidR="00837385" w:rsidRDefault="00837385" w:rsidP="0057770F">
      <w:pPr>
        <w:rPr>
          <w:rFonts w:cstheme="minorHAnsi"/>
          <w:b/>
          <w:color w:val="FF0000"/>
        </w:rPr>
      </w:pPr>
    </w:p>
    <w:p w14:paraId="47648144" w14:textId="77777777" w:rsidR="007051F3" w:rsidRPr="00837385" w:rsidRDefault="007051F3" w:rsidP="0057770F">
      <w:pPr>
        <w:rPr>
          <w:rFonts w:cstheme="minorHAnsi"/>
          <w:b/>
          <w:color w:val="FF0000"/>
        </w:rPr>
      </w:pPr>
    </w:p>
    <w:p w14:paraId="75BFF241" w14:textId="77777777" w:rsidR="00894BEB" w:rsidRPr="009660DC" w:rsidRDefault="00894BEB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lastRenderedPageBreak/>
        <w:t>Způsob podání návrhů projektů:</w:t>
      </w:r>
    </w:p>
    <w:p w14:paraId="5FBD9EAC" w14:textId="77777777" w:rsidR="00894BEB" w:rsidRPr="009660DC" w:rsidRDefault="00894BEB" w:rsidP="0057770F">
      <w:pPr>
        <w:rPr>
          <w:rFonts w:cstheme="minorHAnsi"/>
          <w:b/>
        </w:rPr>
      </w:pPr>
      <w:r w:rsidRPr="009660DC">
        <w:rPr>
          <w:rFonts w:cstheme="minorHAnsi"/>
          <w:b/>
        </w:rPr>
        <w:t xml:space="preserve">Webový portál ISTA </w:t>
      </w:r>
      <w:hyperlink r:id="rId14" w:history="1">
        <w:r w:rsidRPr="009660DC">
          <w:rPr>
            <w:rStyle w:val="Hypertextovodkaz"/>
            <w:rFonts w:cstheme="minorHAnsi"/>
            <w:b/>
          </w:rPr>
          <w:t>https://ista.tacr.cz/ISTA/action/Login/?actionId=26177460554028970&amp;step=0&amp;ts=1560349268592&amp;hash=PIPB5ah8Cwz2I7whWtNq7A==&amp;nbl=true</w:t>
        </w:r>
      </w:hyperlink>
    </w:p>
    <w:p w14:paraId="087D1E74" w14:textId="77777777" w:rsidR="00894BEB" w:rsidRPr="009660DC" w:rsidRDefault="00894BEB" w:rsidP="0057770F">
      <w:pPr>
        <w:rPr>
          <w:rFonts w:cstheme="minorHAnsi"/>
          <w:b/>
        </w:rPr>
      </w:pPr>
    </w:p>
    <w:p w14:paraId="4306062E" w14:textId="77777777" w:rsidR="00894BEB" w:rsidRPr="009660DC" w:rsidRDefault="00894BEB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Požadavky na způsobilost:</w:t>
      </w:r>
    </w:p>
    <w:p w14:paraId="5927FBD6" w14:textId="77777777" w:rsidR="009A6497" w:rsidRPr="009660DC" w:rsidRDefault="009A6497" w:rsidP="004A64EB">
      <w:pPr>
        <w:jc w:val="both"/>
        <w:rPr>
          <w:rFonts w:cstheme="minorHAnsi"/>
        </w:rPr>
      </w:pPr>
      <w:r w:rsidRPr="009660DC">
        <w:rPr>
          <w:rFonts w:cstheme="minorHAnsi"/>
          <w:b/>
        </w:rPr>
        <w:t xml:space="preserve">Čestné prohlášení za uchazeče – </w:t>
      </w:r>
      <w:r w:rsidRPr="00D33814">
        <w:rPr>
          <w:rFonts w:cstheme="minorHAnsi"/>
        </w:rPr>
        <w:t>bude zajištěno rektorátem prostřednictvím datové schránky centrálně za všechny projekty ve lhůtě stanovené poskytovatelem.</w:t>
      </w:r>
      <w:r w:rsidR="00FD6332" w:rsidRPr="00D33814">
        <w:rPr>
          <w:rFonts w:cstheme="minorHAnsi"/>
        </w:rPr>
        <w:t xml:space="preserve"> Každý uchazeč zasílá prohlášení ze své datové schránky a v poli věc musí být uvedeno</w:t>
      </w:r>
      <w:r w:rsidR="00FD6332" w:rsidRPr="009660DC">
        <w:rPr>
          <w:rFonts w:cstheme="minorHAnsi"/>
          <w:b/>
        </w:rPr>
        <w:t>: „Věc” uveďte „</w:t>
      </w:r>
      <w:r w:rsidR="00D33814" w:rsidRPr="00D33814">
        <w:rPr>
          <w:b/>
        </w:rPr>
        <w:t>7. veřejná soutěž programu Prostředí pro život – Prokázání způsobilosti</w:t>
      </w:r>
      <w:r w:rsidR="00FD6332" w:rsidRPr="00D33814">
        <w:rPr>
          <w:rFonts w:cstheme="minorHAnsi"/>
          <w:b/>
        </w:rPr>
        <w:t xml:space="preserve">“ </w:t>
      </w:r>
      <w:r w:rsidR="00FD6332" w:rsidRPr="009660DC">
        <w:rPr>
          <w:rFonts w:cstheme="minorHAnsi"/>
        </w:rPr>
        <w:t>(ID datové schránky: afth9xp);</w:t>
      </w:r>
    </w:p>
    <w:p w14:paraId="6DF51482" w14:textId="77777777" w:rsidR="00FD6332" w:rsidRPr="009660DC" w:rsidRDefault="00B723D0" w:rsidP="004A64EB">
      <w:pPr>
        <w:jc w:val="both"/>
        <w:rPr>
          <w:rFonts w:cstheme="minorHAnsi"/>
          <w:b/>
        </w:rPr>
      </w:pPr>
      <w:r w:rsidRPr="00D33814">
        <w:rPr>
          <w:rFonts w:cstheme="minorHAnsi"/>
        </w:rPr>
        <w:t>V případě, že další účastník nemá datovou schránku, může čestné prohlášení poslat listině jako zahraniční další účastník.</w:t>
      </w:r>
    </w:p>
    <w:p w14:paraId="6E20C246" w14:textId="77777777" w:rsidR="00894BEB" w:rsidRDefault="009A6497" w:rsidP="004A64EB">
      <w:pPr>
        <w:jc w:val="both"/>
        <w:rPr>
          <w:rFonts w:cstheme="minorHAnsi"/>
          <w:b/>
        </w:rPr>
      </w:pPr>
      <w:r w:rsidRPr="009660DC">
        <w:rPr>
          <w:rFonts w:cstheme="minorHAnsi"/>
          <w:b/>
        </w:rPr>
        <w:t>VUT splňuje povinnost zveřejnit účetní závěrku tím, že vydává výroční zprávu o hospodaření.</w:t>
      </w:r>
    </w:p>
    <w:p w14:paraId="79C9EBCA" w14:textId="77777777" w:rsidR="003452D3" w:rsidRPr="00D33814" w:rsidRDefault="00497FD6" w:rsidP="004A64EB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</w:t>
      </w:r>
      <w:r w:rsidRPr="00497FD6">
        <w:rPr>
          <w:rFonts w:cstheme="minorHAnsi"/>
          <w:b/>
          <w:color w:val="FF0000"/>
        </w:rPr>
        <w:t>chazeči musí být zapsaní v evidenci skutečných majitelů. Pokud uchazeč není zapsán v evidenci skutečných majitelů do termínu konce soutěžní lhůty, tedy do 1</w:t>
      </w:r>
      <w:r w:rsidR="00D33814">
        <w:rPr>
          <w:rFonts w:cstheme="minorHAnsi"/>
          <w:b/>
          <w:color w:val="FF0000"/>
        </w:rPr>
        <w:t>3</w:t>
      </w:r>
      <w:r w:rsidRPr="00497FD6">
        <w:rPr>
          <w:rFonts w:cstheme="minorHAnsi"/>
          <w:b/>
          <w:color w:val="FF0000"/>
        </w:rPr>
        <w:t>. 9. 202</w:t>
      </w:r>
      <w:r w:rsidR="00D33814">
        <w:rPr>
          <w:rFonts w:cstheme="minorHAnsi"/>
          <w:b/>
          <w:color w:val="FF0000"/>
        </w:rPr>
        <w:t>3</w:t>
      </w:r>
      <w:r w:rsidRPr="00497FD6">
        <w:rPr>
          <w:rFonts w:cstheme="minorHAnsi"/>
          <w:b/>
          <w:color w:val="FF0000"/>
        </w:rPr>
        <w:t>, nepřijme TAČR návrh projektu do veřejné soutěže.</w:t>
      </w:r>
    </w:p>
    <w:p w14:paraId="5267A808" w14:textId="77777777" w:rsidR="007F213B" w:rsidRDefault="007F213B" w:rsidP="003206E0">
      <w:pPr>
        <w:rPr>
          <w:rFonts w:cstheme="minorHAnsi"/>
          <w:b/>
          <w:i/>
          <w:color w:val="0070C0"/>
          <w:sz w:val="28"/>
          <w:szCs w:val="28"/>
        </w:rPr>
      </w:pPr>
    </w:p>
    <w:p w14:paraId="6DA61A4A" w14:textId="77777777" w:rsidR="008A1221" w:rsidRPr="007F213B" w:rsidRDefault="008A1221" w:rsidP="007F213B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5729"/>
        <w:gridCol w:w="1120"/>
        <w:gridCol w:w="975"/>
      </w:tblGrid>
      <w:tr w:rsidR="00D41249" w14:paraId="412258F0" w14:textId="77777777" w:rsidTr="00D41249">
        <w:trPr>
          <w:jc w:val="center"/>
        </w:trPr>
        <w:tc>
          <w:tcPr>
            <w:tcW w:w="1238" w:type="dxa"/>
            <w:vMerge w:val="restart"/>
          </w:tcPr>
          <w:p w14:paraId="184B6B7E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Kód výsledku</w:t>
            </w:r>
          </w:p>
        </w:tc>
        <w:tc>
          <w:tcPr>
            <w:tcW w:w="5729" w:type="dxa"/>
            <w:vMerge w:val="restart"/>
            <w:vAlign w:val="center"/>
          </w:tcPr>
          <w:p w14:paraId="206775C0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Název výsledku</w:t>
            </w:r>
          </w:p>
        </w:tc>
        <w:tc>
          <w:tcPr>
            <w:tcW w:w="2095" w:type="dxa"/>
            <w:gridSpan w:val="2"/>
          </w:tcPr>
          <w:p w14:paraId="3C1D0A56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Podprogram</w:t>
            </w:r>
          </w:p>
        </w:tc>
      </w:tr>
      <w:tr w:rsidR="00D41249" w14:paraId="2C85F91F" w14:textId="77777777" w:rsidTr="00D41249">
        <w:trPr>
          <w:jc w:val="center"/>
        </w:trPr>
        <w:tc>
          <w:tcPr>
            <w:tcW w:w="1238" w:type="dxa"/>
            <w:vMerge/>
          </w:tcPr>
          <w:p w14:paraId="5DBAC4E7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729" w:type="dxa"/>
            <w:vMerge/>
          </w:tcPr>
          <w:p w14:paraId="6120CA53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41FECE62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14:paraId="67406595" w14:textId="77777777"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2</w:t>
            </w:r>
          </w:p>
        </w:tc>
      </w:tr>
      <w:tr w:rsidR="00D41249" w:rsidRPr="009A2DA9" w14:paraId="1D02B6F3" w14:textId="77777777" w:rsidTr="00D41249">
        <w:trPr>
          <w:jc w:val="center"/>
        </w:trPr>
        <w:tc>
          <w:tcPr>
            <w:tcW w:w="1238" w:type="dxa"/>
          </w:tcPr>
          <w:p w14:paraId="2AB2D4A2" w14:textId="77777777" w:rsidR="00D41249" w:rsidRPr="009A2DA9" w:rsidRDefault="00D41249" w:rsidP="00D41249">
            <w:pPr>
              <w:jc w:val="center"/>
            </w:pPr>
            <w:r>
              <w:t>P</w:t>
            </w:r>
          </w:p>
        </w:tc>
        <w:tc>
          <w:tcPr>
            <w:tcW w:w="5729" w:type="dxa"/>
          </w:tcPr>
          <w:p w14:paraId="29941170" w14:textId="77777777" w:rsidR="00D41249" w:rsidRPr="009A2DA9" w:rsidRDefault="00D41249" w:rsidP="00D41249">
            <w:r>
              <w:t>Patent (povinnou přílohou je patentová rešerše)</w:t>
            </w:r>
          </w:p>
        </w:tc>
        <w:tc>
          <w:tcPr>
            <w:tcW w:w="1120" w:type="dxa"/>
          </w:tcPr>
          <w:p w14:paraId="306DAD36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7A9ABAF1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55125511" w14:textId="77777777" w:rsidTr="00D41249">
        <w:trPr>
          <w:jc w:val="center"/>
        </w:trPr>
        <w:tc>
          <w:tcPr>
            <w:tcW w:w="1238" w:type="dxa"/>
          </w:tcPr>
          <w:p w14:paraId="0C314473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Gprot</w:t>
            </w:r>
            <w:proofErr w:type="spellEnd"/>
          </w:p>
        </w:tc>
        <w:tc>
          <w:tcPr>
            <w:tcW w:w="5729" w:type="dxa"/>
          </w:tcPr>
          <w:p w14:paraId="591B9DC8" w14:textId="77777777" w:rsidR="00D41249" w:rsidRPr="009A2DA9" w:rsidRDefault="00D41249" w:rsidP="00D41249">
            <w:r w:rsidRPr="009A2DA9">
              <w:t>Prototyp</w:t>
            </w:r>
          </w:p>
        </w:tc>
        <w:tc>
          <w:tcPr>
            <w:tcW w:w="1120" w:type="dxa"/>
          </w:tcPr>
          <w:p w14:paraId="1380EFBB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547985E4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7846C10F" w14:textId="77777777" w:rsidTr="00D41249">
        <w:trPr>
          <w:jc w:val="center"/>
        </w:trPr>
        <w:tc>
          <w:tcPr>
            <w:tcW w:w="1238" w:type="dxa"/>
          </w:tcPr>
          <w:p w14:paraId="3B5653D4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Gfunk</w:t>
            </w:r>
            <w:proofErr w:type="spellEnd"/>
          </w:p>
        </w:tc>
        <w:tc>
          <w:tcPr>
            <w:tcW w:w="5729" w:type="dxa"/>
          </w:tcPr>
          <w:p w14:paraId="79DAC002" w14:textId="77777777" w:rsidR="00D41249" w:rsidRPr="009A2DA9" w:rsidRDefault="00D41249" w:rsidP="00D41249">
            <w:r w:rsidRPr="009A2DA9">
              <w:t>Funkční vzorek</w:t>
            </w:r>
          </w:p>
        </w:tc>
        <w:tc>
          <w:tcPr>
            <w:tcW w:w="1120" w:type="dxa"/>
          </w:tcPr>
          <w:p w14:paraId="5804FE51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529D515A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0CB34721" w14:textId="77777777" w:rsidTr="00D41249">
        <w:trPr>
          <w:jc w:val="center"/>
        </w:trPr>
        <w:tc>
          <w:tcPr>
            <w:tcW w:w="1238" w:type="dxa"/>
          </w:tcPr>
          <w:p w14:paraId="4D6954B5" w14:textId="77777777" w:rsidR="00D41249" w:rsidRPr="009A2DA9" w:rsidRDefault="00D41249" w:rsidP="00D41249">
            <w:pPr>
              <w:jc w:val="center"/>
            </w:pPr>
            <w:r w:rsidRPr="009A2DA9">
              <w:t>R</w:t>
            </w:r>
          </w:p>
        </w:tc>
        <w:tc>
          <w:tcPr>
            <w:tcW w:w="5729" w:type="dxa"/>
          </w:tcPr>
          <w:p w14:paraId="5CE3921F" w14:textId="77777777" w:rsidR="00D41249" w:rsidRPr="009A2DA9" w:rsidRDefault="00D41249" w:rsidP="00D41249">
            <w:r>
              <w:t>software</w:t>
            </w:r>
          </w:p>
        </w:tc>
        <w:tc>
          <w:tcPr>
            <w:tcW w:w="1120" w:type="dxa"/>
          </w:tcPr>
          <w:p w14:paraId="21699E75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6BF0B742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7D9CA45C" w14:textId="77777777" w:rsidTr="00D41249">
        <w:trPr>
          <w:jc w:val="center"/>
        </w:trPr>
        <w:tc>
          <w:tcPr>
            <w:tcW w:w="1238" w:type="dxa"/>
          </w:tcPr>
          <w:p w14:paraId="54BC830C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NmetS</w:t>
            </w:r>
            <w:proofErr w:type="spellEnd"/>
            <w:r w:rsidR="007051F3">
              <w:t>*</w:t>
            </w:r>
          </w:p>
        </w:tc>
        <w:tc>
          <w:tcPr>
            <w:tcW w:w="5729" w:type="dxa"/>
          </w:tcPr>
          <w:p w14:paraId="5EFC36D4" w14:textId="77777777" w:rsidR="00D41249" w:rsidRPr="009A2DA9" w:rsidRDefault="00D41249" w:rsidP="00D41249">
            <w:r>
              <w:t xml:space="preserve">metodika schválená příslušným orgánem státní správy, do jehož kompetence daná problematika spadá – povinnou přílohou je Formulář pro druh výsledku </w:t>
            </w:r>
            <w:proofErr w:type="spellStart"/>
            <w:r>
              <w:t>Nmet</w:t>
            </w:r>
            <w:proofErr w:type="spellEnd"/>
          </w:p>
        </w:tc>
        <w:tc>
          <w:tcPr>
            <w:tcW w:w="1120" w:type="dxa"/>
          </w:tcPr>
          <w:p w14:paraId="0CD04A32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2DBB1836" w14:textId="77777777" w:rsidR="00D41249" w:rsidRPr="009A2DA9" w:rsidRDefault="00D41249" w:rsidP="00D41249">
            <w:pPr>
              <w:jc w:val="center"/>
            </w:pPr>
            <w:r>
              <w:t>-</w:t>
            </w:r>
          </w:p>
        </w:tc>
      </w:tr>
      <w:tr w:rsidR="00D41249" w:rsidRPr="009A2DA9" w14:paraId="50120721" w14:textId="77777777" w:rsidTr="00D41249">
        <w:trPr>
          <w:jc w:val="center"/>
        </w:trPr>
        <w:tc>
          <w:tcPr>
            <w:tcW w:w="1238" w:type="dxa"/>
          </w:tcPr>
          <w:p w14:paraId="7D5A47F7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Nmap</w:t>
            </w:r>
            <w:proofErr w:type="spellEnd"/>
            <w:r w:rsidR="004A64EB">
              <w:t>*</w:t>
            </w:r>
          </w:p>
        </w:tc>
        <w:tc>
          <w:tcPr>
            <w:tcW w:w="5729" w:type="dxa"/>
          </w:tcPr>
          <w:p w14:paraId="0B87DA53" w14:textId="77777777" w:rsidR="00D41249" w:rsidRPr="009A2DA9" w:rsidRDefault="00D41249" w:rsidP="00D41249">
            <w:r>
              <w:t>specializovaná mapa s odborným obsahem</w:t>
            </w:r>
          </w:p>
        </w:tc>
        <w:tc>
          <w:tcPr>
            <w:tcW w:w="1120" w:type="dxa"/>
          </w:tcPr>
          <w:p w14:paraId="75CF64E9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305F38C7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7A2934CF" w14:textId="77777777" w:rsidTr="00D41249">
        <w:trPr>
          <w:jc w:val="center"/>
        </w:trPr>
        <w:tc>
          <w:tcPr>
            <w:tcW w:w="1238" w:type="dxa"/>
          </w:tcPr>
          <w:p w14:paraId="5EA858D9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Hneleg</w:t>
            </w:r>
            <w:proofErr w:type="spellEnd"/>
          </w:p>
        </w:tc>
        <w:tc>
          <w:tcPr>
            <w:tcW w:w="5729" w:type="dxa"/>
          </w:tcPr>
          <w:p w14:paraId="7B657131" w14:textId="77777777" w:rsidR="00D41249" w:rsidRPr="009A2DA9" w:rsidRDefault="00D41249" w:rsidP="00D41249">
            <w:r>
              <w:t>výsledky promítnuté do směrnic a předpisů nelegislativní povahy závazných v rámci kompetence příslušného poskytovatele</w:t>
            </w:r>
          </w:p>
        </w:tc>
        <w:tc>
          <w:tcPr>
            <w:tcW w:w="1120" w:type="dxa"/>
          </w:tcPr>
          <w:p w14:paraId="7DB4685F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0D150338" w14:textId="77777777" w:rsidR="00D41249" w:rsidRPr="009A2DA9" w:rsidRDefault="00D41249" w:rsidP="00D41249">
            <w:pPr>
              <w:jc w:val="center"/>
            </w:pPr>
            <w:r>
              <w:t>-</w:t>
            </w:r>
          </w:p>
        </w:tc>
      </w:tr>
      <w:tr w:rsidR="00D41249" w:rsidRPr="009A2DA9" w14:paraId="7F280E56" w14:textId="77777777" w:rsidTr="00D41249">
        <w:trPr>
          <w:jc w:val="center"/>
        </w:trPr>
        <w:tc>
          <w:tcPr>
            <w:tcW w:w="1238" w:type="dxa"/>
          </w:tcPr>
          <w:p w14:paraId="19DBF59E" w14:textId="77777777" w:rsidR="00D41249" w:rsidRPr="009A2DA9" w:rsidRDefault="00D41249" w:rsidP="00D41249">
            <w:pPr>
              <w:jc w:val="center"/>
            </w:pPr>
            <w:proofErr w:type="spellStart"/>
            <w:r>
              <w:t>Vsouhrn</w:t>
            </w:r>
            <w:proofErr w:type="spellEnd"/>
            <w:r w:rsidR="004A64EB">
              <w:t>*</w:t>
            </w:r>
          </w:p>
        </w:tc>
        <w:tc>
          <w:tcPr>
            <w:tcW w:w="5729" w:type="dxa"/>
          </w:tcPr>
          <w:p w14:paraId="266A7129" w14:textId="77777777" w:rsidR="00D41249" w:rsidRPr="009A2DA9" w:rsidRDefault="00D41249" w:rsidP="00D41249">
            <w:r>
              <w:t>souhrnná výzkumná zpráva</w:t>
            </w:r>
          </w:p>
        </w:tc>
        <w:tc>
          <w:tcPr>
            <w:tcW w:w="1120" w:type="dxa"/>
          </w:tcPr>
          <w:p w14:paraId="5C8405AA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4FDA2772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6DBAC142" w14:textId="77777777" w:rsidTr="00D41249">
        <w:trPr>
          <w:jc w:val="center"/>
        </w:trPr>
        <w:tc>
          <w:tcPr>
            <w:tcW w:w="1238" w:type="dxa"/>
          </w:tcPr>
          <w:p w14:paraId="3EBAF5D9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Zpolop</w:t>
            </w:r>
            <w:proofErr w:type="spellEnd"/>
          </w:p>
        </w:tc>
        <w:tc>
          <w:tcPr>
            <w:tcW w:w="5729" w:type="dxa"/>
          </w:tcPr>
          <w:p w14:paraId="2576625F" w14:textId="77777777" w:rsidR="00D41249" w:rsidRPr="009A2DA9" w:rsidRDefault="00D41249" w:rsidP="00D41249">
            <w:r>
              <w:t>poloprovoz</w:t>
            </w:r>
          </w:p>
        </w:tc>
        <w:tc>
          <w:tcPr>
            <w:tcW w:w="1120" w:type="dxa"/>
          </w:tcPr>
          <w:p w14:paraId="49A89680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63A28AFC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14:paraId="655EB085" w14:textId="77777777" w:rsidTr="00D41249">
        <w:trPr>
          <w:jc w:val="center"/>
        </w:trPr>
        <w:tc>
          <w:tcPr>
            <w:tcW w:w="1238" w:type="dxa"/>
          </w:tcPr>
          <w:p w14:paraId="3094E768" w14:textId="77777777" w:rsidR="00D41249" w:rsidRPr="009A2DA9" w:rsidRDefault="00D41249" w:rsidP="00D41249">
            <w:pPr>
              <w:jc w:val="center"/>
            </w:pPr>
            <w:proofErr w:type="spellStart"/>
            <w:r w:rsidRPr="009A2DA9">
              <w:t>Ztech</w:t>
            </w:r>
            <w:proofErr w:type="spellEnd"/>
          </w:p>
        </w:tc>
        <w:tc>
          <w:tcPr>
            <w:tcW w:w="5729" w:type="dxa"/>
          </w:tcPr>
          <w:p w14:paraId="5B7E3FF2" w14:textId="77777777" w:rsidR="00D41249" w:rsidRPr="009A2DA9" w:rsidRDefault="00D41249" w:rsidP="00D41249">
            <w:r>
              <w:t>Ověřená technologie</w:t>
            </w:r>
          </w:p>
        </w:tc>
        <w:tc>
          <w:tcPr>
            <w:tcW w:w="1120" w:type="dxa"/>
          </w:tcPr>
          <w:p w14:paraId="1568057A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52A6D5A3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F71A82" w:rsidRPr="009A2DA9" w14:paraId="529C2E2D" w14:textId="77777777" w:rsidTr="00D41249">
        <w:trPr>
          <w:jc w:val="center"/>
        </w:trPr>
        <w:tc>
          <w:tcPr>
            <w:tcW w:w="1238" w:type="dxa"/>
          </w:tcPr>
          <w:p w14:paraId="7CA6C424" w14:textId="77777777" w:rsidR="00F71A82" w:rsidRPr="009A2DA9" w:rsidRDefault="00F71A82" w:rsidP="00F71A82">
            <w:pPr>
              <w:jc w:val="center"/>
            </w:pPr>
            <w:r>
              <w:t>S</w:t>
            </w:r>
          </w:p>
        </w:tc>
        <w:tc>
          <w:tcPr>
            <w:tcW w:w="5729" w:type="dxa"/>
          </w:tcPr>
          <w:p w14:paraId="24BF9383" w14:textId="77777777" w:rsidR="00F71A82" w:rsidRPr="009A2DA9" w:rsidRDefault="00F71A82" w:rsidP="00F71A82">
            <w:r>
              <w:t>Specializovaná veřejná databáze</w:t>
            </w:r>
          </w:p>
        </w:tc>
        <w:tc>
          <w:tcPr>
            <w:tcW w:w="1120" w:type="dxa"/>
          </w:tcPr>
          <w:p w14:paraId="648ADAEF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3DFDF491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</w:tr>
      <w:tr w:rsidR="00F71A82" w:rsidRPr="009A2DA9" w14:paraId="78152631" w14:textId="77777777" w:rsidTr="00D41249">
        <w:trPr>
          <w:jc w:val="center"/>
        </w:trPr>
        <w:tc>
          <w:tcPr>
            <w:tcW w:w="1238" w:type="dxa"/>
          </w:tcPr>
          <w:p w14:paraId="4CA44379" w14:textId="77777777" w:rsidR="00F71A82" w:rsidRPr="009A2DA9" w:rsidRDefault="00F71A82" w:rsidP="00F71A82">
            <w:pPr>
              <w:jc w:val="center"/>
            </w:pPr>
            <w:proofErr w:type="spellStart"/>
            <w:r>
              <w:t>Jimp</w:t>
            </w:r>
            <w:proofErr w:type="spellEnd"/>
            <w:r w:rsidR="004A64EB">
              <w:t>*</w:t>
            </w:r>
          </w:p>
        </w:tc>
        <w:tc>
          <w:tcPr>
            <w:tcW w:w="5729" w:type="dxa"/>
          </w:tcPr>
          <w:p w14:paraId="54BD4B9A" w14:textId="77777777" w:rsidR="00F71A82" w:rsidRPr="009A2DA9" w:rsidRDefault="00F71A82" w:rsidP="00F71A82">
            <w:r>
              <w:t xml:space="preserve">původní/přehledový 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  <w:tc>
          <w:tcPr>
            <w:tcW w:w="1120" w:type="dxa"/>
          </w:tcPr>
          <w:p w14:paraId="7D0A3A31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0C67758C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19740D0A" w14:textId="77777777" w:rsidTr="00D41249">
        <w:trPr>
          <w:jc w:val="center"/>
        </w:trPr>
        <w:tc>
          <w:tcPr>
            <w:tcW w:w="1238" w:type="dxa"/>
          </w:tcPr>
          <w:p w14:paraId="5E6717B1" w14:textId="77777777" w:rsidR="00F71A82" w:rsidRPr="009A2DA9" w:rsidRDefault="00F71A82" w:rsidP="00F71A82">
            <w:pPr>
              <w:jc w:val="center"/>
            </w:pPr>
            <w:r>
              <w:t>JSC</w:t>
            </w:r>
            <w:r w:rsidR="004A64EB">
              <w:t>*</w:t>
            </w:r>
          </w:p>
        </w:tc>
        <w:tc>
          <w:tcPr>
            <w:tcW w:w="5729" w:type="dxa"/>
          </w:tcPr>
          <w:p w14:paraId="3404BEBD" w14:textId="77777777" w:rsidR="00F71A82" w:rsidRPr="009A2DA9" w:rsidRDefault="00F71A82" w:rsidP="00F71A82">
            <w:r>
              <w:t>původní/přehledový článek v recenzovaném odborném periodiku, který je obsažen v databázi SCOPUS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  <w:tc>
          <w:tcPr>
            <w:tcW w:w="1120" w:type="dxa"/>
          </w:tcPr>
          <w:p w14:paraId="35161F8B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2CC4EAE5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1FD9EC5D" w14:textId="77777777" w:rsidTr="00D41249">
        <w:trPr>
          <w:jc w:val="center"/>
        </w:trPr>
        <w:tc>
          <w:tcPr>
            <w:tcW w:w="1238" w:type="dxa"/>
          </w:tcPr>
          <w:p w14:paraId="1424F4CE" w14:textId="77777777" w:rsidR="00F71A82" w:rsidRPr="009A2DA9" w:rsidRDefault="00F71A82" w:rsidP="00F71A82">
            <w:pPr>
              <w:jc w:val="center"/>
            </w:pPr>
            <w:proofErr w:type="spellStart"/>
            <w:r>
              <w:lastRenderedPageBreak/>
              <w:t>Jost</w:t>
            </w:r>
            <w:proofErr w:type="spellEnd"/>
            <w:r w:rsidR="004A64EB">
              <w:t>*</w:t>
            </w:r>
          </w:p>
        </w:tc>
        <w:tc>
          <w:tcPr>
            <w:tcW w:w="5729" w:type="dxa"/>
          </w:tcPr>
          <w:p w14:paraId="68D030D7" w14:textId="77777777" w:rsidR="00F71A82" w:rsidRPr="009A2DA9" w:rsidRDefault="00F71A82" w:rsidP="00F71A82">
            <w:r>
              <w:t>původní/přehledový článek v recenzovaném odborném periodiku, které nespadá do žádné z výše uvedených skupin. Seznam recenzovaných neimpaktovaných periodik se nepoužije. Rozhodující je, zda recenzovaný odborný článek splňuje obecné požadavky na tento druh výsledku a prošel řádně procesem recenzního řízení</w:t>
            </w:r>
          </w:p>
        </w:tc>
        <w:tc>
          <w:tcPr>
            <w:tcW w:w="1120" w:type="dxa"/>
          </w:tcPr>
          <w:p w14:paraId="15EE962E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7D040FAA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2CC3BCDE" w14:textId="77777777" w:rsidTr="00D41249">
        <w:trPr>
          <w:jc w:val="center"/>
        </w:trPr>
        <w:tc>
          <w:tcPr>
            <w:tcW w:w="1238" w:type="dxa"/>
          </w:tcPr>
          <w:p w14:paraId="064D6C27" w14:textId="77777777" w:rsidR="00F71A82" w:rsidRPr="009A2DA9" w:rsidRDefault="00F71A82" w:rsidP="00F71A82">
            <w:pPr>
              <w:jc w:val="center"/>
            </w:pPr>
            <w:r>
              <w:t>B</w:t>
            </w:r>
          </w:p>
        </w:tc>
        <w:tc>
          <w:tcPr>
            <w:tcW w:w="5729" w:type="dxa"/>
          </w:tcPr>
          <w:p w14:paraId="633AC8C4" w14:textId="77777777" w:rsidR="00F71A82" w:rsidRPr="009A2DA9" w:rsidRDefault="00F71A82" w:rsidP="00F71A82">
            <w:r>
              <w:t>Odborná kniha</w:t>
            </w:r>
          </w:p>
        </w:tc>
        <w:tc>
          <w:tcPr>
            <w:tcW w:w="1120" w:type="dxa"/>
          </w:tcPr>
          <w:p w14:paraId="6134F4AC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479B52C9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2D8A6C0E" w14:textId="77777777" w:rsidTr="00D41249">
        <w:trPr>
          <w:jc w:val="center"/>
        </w:trPr>
        <w:tc>
          <w:tcPr>
            <w:tcW w:w="1238" w:type="dxa"/>
          </w:tcPr>
          <w:p w14:paraId="6C314DF0" w14:textId="77777777" w:rsidR="00F71A82" w:rsidRPr="009A2DA9" w:rsidRDefault="00F71A82" w:rsidP="00F71A82">
            <w:pPr>
              <w:jc w:val="center"/>
            </w:pPr>
            <w:r>
              <w:t>C</w:t>
            </w:r>
          </w:p>
        </w:tc>
        <w:tc>
          <w:tcPr>
            <w:tcW w:w="5729" w:type="dxa"/>
          </w:tcPr>
          <w:p w14:paraId="3A87E05B" w14:textId="77777777" w:rsidR="00F71A82" w:rsidRPr="009A2DA9" w:rsidRDefault="00F71A82" w:rsidP="00F71A82">
            <w:r>
              <w:t>Kapitola v odborné knize</w:t>
            </w:r>
          </w:p>
        </w:tc>
        <w:tc>
          <w:tcPr>
            <w:tcW w:w="1120" w:type="dxa"/>
          </w:tcPr>
          <w:p w14:paraId="09B6D9C1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46CC7AA8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0C88E782" w14:textId="77777777" w:rsidTr="00D41249">
        <w:trPr>
          <w:jc w:val="center"/>
        </w:trPr>
        <w:tc>
          <w:tcPr>
            <w:tcW w:w="1238" w:type="dxa"/>
          </w:tcPr>
          <w:p w14:paraId="32601394" w14:textId="77777777" w:rsidR="00F71A82" w:rsidRPr="009A2DA9" w:rsidRDefault="00F71A82" w:rsidP="00F71A82">
            <w:pPr>
              <w:jc w:val="center"/>
            </w:pPr>
            <w:proofErr w:type="spellStart"/>
            <w:r>
              <w:t>Ekrit</w:t>
            </w:r>
            <w:proofErr w:type="spellEnd"/>
          </w:p>
        </w:tc>
        <w:tc>
          <w:tcPr>
            <w:tcW w:w="5729" w:type="dxa"/>
          </w:tcPr>
          <w:p w14:paraId="2ADBDAFA" w14:textId="77777777" w:rsidR="00F71A82" w:rsidRPr="009A2DA9" w:rsidRDefault="00F71A82" w:rsidP="00F71A82">
            <w:r>
              <w:t>uspořádání výstavy s kritickým katalogem</w:t>
            </w:r>
          </w:p>
        </w:tc>
        <w:tc>
          <w:tcPr>
            <w:tcW w:w="1120" w:type="dxa"/>
          </w:tcPr>
          <w:p w14:paraId="4F6C63DD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0C3FF439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3D814CBF" w14:textId="77777777" w:rsidTr="00D41249">
        <w:trPr>
          <w:jc w:val="center"/>
        </w:trPr>
        <w:tc>
          <w:tcPr>
            <w:tcW w:w="1238" w:type="dxa"/>
          </w:tcPr>
          <w:p w14:paraId="7B260D90" w14:textId="77777777" w:rsidR="00F71A82" w:rsidRPr="009A2DA9" w:rsidRDefault="00F71A82" w:rsidP="00F71A82">
            <w:pPr>
              <w:jc w:val="center"/>
            </w:pPr>
            <w:r>
              <w:t>M</w:t>
            </w:r>
          </w:p>
        </w:tc>
        <w:tc>
          <w:tcPr>
            <w:tcW w:w="5729" w:type="dxa"/>
          </w:tcPr>
          <w:p w14:paraId="7DE33503" w14:textId="77777777" w:rsidR="00F71A82" w:rsidRPr="009A2DA9" w:rsidRDefault="00F71A82" w:rsidP="00F71A82">
            <w:r>
              <w:t>uspořádání konference</w:t>
            </w:r>
          </w:p>
        </w:tc>
        <w:tc>
          <w:tcPr>
            <w:tcW w:w="1120" w:type="dxa"/>
          </w:tcPr>
          <w:p w14:paraId="10759CEB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0B119B59" w14:textId="77777777"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14:paraId="2EB51CB5" w14:textId="77777777" w:rsidTr="00D41249">
        <w:trPr>
          <w:jc w:val="center"/>
        </w:trPr>
        <w:tc>
          <w:tcPr>
            <w:tcW w:w="1238" w:type="dxa"/>
          </w:tcPr>
          <w:p w14:paraId="246A03B2" w14:textId="77777777" w:rsidR="00F71A82" w:rsidRPr="009A2DA9" w:rsidRDefault="00F71A82" w:rsidP="00F71A82">
            <w:pPr>
              <w:jc w:val="center"/>
            </w:pPr>
            <w:proofErr w:type="spellStart"/>
            <w:r w:rsidRPr="009A2DA9">
              <w:t>Fprum</w:t>
            </w:r>
            <w:proofErr w:type="spellEnd"/>
          </w:p>
        </w:tc>
        <w:tc>
          <w:tcPr>
            <w:tcW w:w="5729" w:type="dxa"/>
          </w:tcPr>
          <w:p w14:paraId="121C8202" w14:textId="77777777" w:rsidR="00F71A82" w:rsidRPr="009A2DA9" w:rsidRDefault="00F71A82" w:rsidP="00F71A82">
            <w:r w:rsidRPr="009A2DA9">
              <w:t>Průmyslový vzor</w:t>
            </w:r>
          </w:p>
        </w:tc>
        <w:tc>
          <w:tcPr>
            <w:tcW w:w="1120" w:type="dxa"/>
          </w:tcPr>
          <w:p w14:paraId="6AB43EFF" w14:textId="77777777" w:rsidR="00F71A82" w:rsidRPr="009A2DA9" w:rsidRDefault="00F71A82" w:rsidP="00F71A82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14:paraId="1FE1A64A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</w:tr>
      <w:tr w:rsidR="00F71A82" w:rsidRPr="009A2DA9" w14:paraId="58E0A4A4" w14:textId="77777777" w:rsidTr="00D41249">
        <w:trPr>
          <w:jc w:val="center"/>
        </w:trPr>
        <w:tc>
          <w:tcPr>
            <w:tcW w:w="1238" w:type="dxa"/>
          </w:tcPr>
          <w:p w14:paraId="751B0B97" w14:textId="77777777" w:rsidR="00F71A82" w:rsidRPr="009A2DA9" w:rsidRDefault="00F71A82" w:rsidP="00F71A82">
            <w:pPr>
              <w:jc w:val="center"/>
            </w:pPr>
            <w:proofErr w:type="spellStart"/>
            <w:r w:rsidRPr="009A2DA9">
              <w:t>Fuzit</w:t>
            </w:r>
            <w:proofErr w:type="spellEnd"/>
          </w:p>
        </w:tc>
        <w:tc>
          <w:tcPr>
            <w:tcW w:w="5729" w:type="dxa"/>
          </w:tcPr>
          <w:p w14:paraId="299896C5" w14:textId="77777777" w:rsidR="00F71A82" w:rsidRPr="009A2DA9" w:rsidRDefault="00F71A82" w:rsidP="00F71A82">
            <w:r w:rsidRPr="009A2DA9">
              <w:t>Užitný vzor</w:t>
            </w:r>
          </w:p>
        </w:tc>
        <w:tc>
          <w:tcPr>
            <w:tcW w:w="1120" w:type="dxa"/>
          </w:tcPr>
          <w:p w14:paraId="5DDCC13B" w14:textId="77777777" w:rsidR="00F71A82" w:rsidRPr="009A2DA9" w:rsidRDefault="00F71A82" w:rsidP="00F71A82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14:paraId="78EDE114" w14:textId="77777777" w:rsidR="00F71A82" w:rsidRPr="009A2DA9" w:rsidRDefault="00F71A82" w:rsidP="00F71A82">
            <w:pPr>
              <w:jc w:val="center"/>
            </w:pPr>
            <w:r>
              <w:t>ANO</w:t>
            </w:r>
          </w:p>
        </w:tc>
      </w:tr>
      <w:tr w:rsidR="00D41249" w:rsidRPr="009A2DA9" w14:paraId="58FC4B5E" w14:textId="77777777" w:rsidTr="00D41249">
        <w:trPr>
          <w:jc w:val="center"/>
        </w:trPr>
        <w:tc>
          <w:tcPr>
            <w:tcW w:w="1238" w:type="dxa"/>
          </w:tcPr>
          <w:p w14:paraId="3D190277" w14:textId="77777777" w:rsidR="00D41249" w:rsidRPr="009A2DA9" w:rsidRDefault="00D41249" w:rsidP="00D41249">
            <w:pPr>
              <w:jc w:val="center"/>
            </w:pPr>
            <w:r w:rsidRPr="009A2DA9">
              <w:t>O</w:t>
            </w:r>
          </w:p>
        </w:tc>
        <w:tc>
          <w:tcPr>
            <w:tcW w:w="5729" w:type="dxa"/>
          </w:tcPr>
          <w:p w14:paraId="038075BD" w14:textId="77777777" w:rsidR="00D41249" w:rsidRPr="009A2DA9" w:rsidRDefault="00D41249" w:rsidP="00D41249">
            <w:r>
              <w:t>Ostatní výsledky</w:t>
            </w:r>
          </w:p>
        </w:tc>
        <w:tc>
          <w:tcPr>
            <w:tcW w:w="1120" w:type="dxa"/>
          </w:tcPr>
          <w:p w14:paraId="7231735A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14:paraId="6E233D87" w14:textId="77777777"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</w:tbl>
    <w:p w14:paraId="61E44191" w14:textId="77777777" w:rsidR="004A64EB" w:rsidRDefault="004A64EB" w:rsidP="003206E0"/>
    <w:p w14:paraId="0CB45183" w14:textId="77777777" w:rsidR="00700F9B" w:rsidRDefault="004A64EB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>
        <w:t xml:space="preserve">Uchazeči jsou povinni v této veřejné soutěži zajistit otevřený přístup „open </w:t>
      </w:r>
      <w:proofErr w:type="spellStart"/>
      <w:r>
        <w:t>access</w:t>
      </w:r>
      <w:proofErr w:type="spellEnd"/>
      <w:r>
        <w:t>” k druhům výstupů/výsledků označeným hvězdičkou (*) a k souvisejícím výzkumným datům. V případě výsledků jiných druhů, u kterých je zpřístupnění technicky snadné (článek ve sborníku, kapitola v odborné knize apod.), je zpřístupnění obzvlášť vítané a doporučované. Výstup/výsledek je dosažený pouze tehdy, pokud splňuje všechny náležitosti dle Metodiky 2017+, požadavky otevřeného přístupu uvedené v dokumentu Výzkumná data a otevřený přístup k výstupům/výsledkům a ve specifických podmínkách smlouvy o poskytnutí podpory.</w:t>
      </w:r>
    </w:p>
    <w:p w14:paraId="7CA7CF66" w14:textId="77777777" w:rsidR="00C07CC9" w:rsidRDefault="00C07CC9" w:rsidP="003206E0">
      <w:pPr>
        <w:rPr>
          <w:rFonts w:cstheme="minorHAnsi"/>
          <w:b/>
          <w:i/>
          <w:color w:val="0070C0"/>
          <w:sz w:val="28"/>
          <w:szCs w:val="28"/>
        </w:rPr>
      </w:pPr>
    </w:p>
    <w:p w14:paraId="4CCC80D4" w14:textId="77777777" w:rsidR="00C07CC9" w:rsidRDefault="00C07CC9" w:rsidP="003206E0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Povinné přílohy:</w:t>
      </w:r>
    </w:p>
    <w:p w14:paraId="5C7719C2" w14:textId="77777777" w:rsidR="00C07CC9" w:rsidRPr="004A64EB" w:rsidRDefault="00C07CC9" w:rsidP="004A64EB">
      <w:pPr>
        <w:jc w:val="both"/>
        <w:rPr>
          <w:b/>
        </w:rPr>
      </w:pPr>
      <w:r w:rsidRPr="004A64EB">
        <w:rPr>
          <w:b/>
        </w:rPr>
        <w:t xml:space="preserve">Jaké dokumenty dokládá uchazeč (TA ČR je nebude vyzývat) </w:t>
      </w:r>
    </w:p>
    <w:p w14:paraId="60241206" w14:textId="77777777" w:rsidR="00C07CC9" w:rsidRPr="00C07CC9" w:rsidRDefault="00C07CC9" w:rsidP="004A64EB">
      <w:pPr>
        <w:jc w:val="both"/>
        <w:rPr>
          <w:b/>
        </w:rPr>
      </w:pPr>
      <w:r w:rsidRPr="00C07CC9">
        <w:rPr>
          <w:b/>
        </w:rPr>
        <w:t xml:space="preserve">1. Prostřednictvím datové schránky: </w:t>
      </w:r>
    </w:p>
    <w:p w14:paraId="62D45542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Potvrzení podání elektronického návrhu projektu do ISTA. </w:t>
      </w:r>
    </w:p>
    <w:p w14:paraId="06D7A018" w14:textId="77777777" w:rsidR="00C07CC9" w:rsidRPr="00C07CC9" w:rsidRDefault="00C07CC9" w:rsidP="004A64EB">
      <w:pPr>
        <w:jc w:val="both"/>
        <w:rPr>
          <w:b/>
        </w:rPr>
      </w:pPr>
      <w:r w:rsidRPr="00C07CC9">
        <w:rPr>
          <w:b/>
        </w:rPr>
        <w:t xml:space="preserve">2. Prostřednictvím příloh v návrhu projektu do ISTA: </w:t>
      </w:r>
    </w:p>
    <w:p w14:paraId="19256767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povinná příloha za druh výsledku </w:t>
      </w:r>
      <w:proofErr w:type="spellStart"/>
      <w:r>
        <w:t>NmetS</w:t>
      </w:r>
      <w:proofErr w:type="spellEnd"/>
      <w:r>
        <w:t xml:space="preserve"> (Formulář pro druh výsledku </w:t>
      </w:r>
      <w:proofErr w:type="spellStart"/>
      <w:r>
        <w:t>Nmet</w:t>
      </w:r>
      <w:proofErr w:type="spellEnd"/>
      <w:r>
        <w:t xml:space="preserve">); </w:t>
      </w:r>
    </w:p>
    <w:p w14:paraId="4AFC941D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povinná příloha za druh výsledku P (patentová rešerše); </w:t>
      </w:r>
    </w:p>
    <w:p w14:paraId="56CAF121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za externího aplikačního </w:t>
      </w:r>
      <w:proofErr w:type="gramStart"/>
      <w:r>
        <w:t>garanta - povinná</w:t>
      </w:r>
      <w:proofErr w:type="gramEnd"/>
      <w:r>
        <w:t xml:space="preserve"> příloha, která prokáže zájem aplikačního garanta o výstupy/výsledky návrhu projektu (v podprogramu 1); </w:t>
      </w:r>
    </w:p>
    <w:p w14:paraId="42915B9A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povinná příloha č. 4 Prohlášení o dodržování zásady „významně nepoškozovat“ (v podprogramu 2); </w:t>
      </w:r>
    </w:p>
    <w:p w14:paraId="5D73E9E7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povinná příloha průzkum trhu (v podprogramu 2). </w:t>
      </w:r>
    </w:p>
    <w:p w14:paraId="42E11D48" w14:textId="77777777" w:rsidR="00C07CC9" w:rsidRDefault="00C07CC9" w:rsidP="004A64EB">
      <w:pPr>
        <w:pStyle w:val="Odstavecseseznamem"/>
        <w:numPr>
          <w:ilvl w:val="0"/>
          <w:numId w:val="29"/>
        </w:numPr>
        <w:jc w:val="both"/>
      </w:pPr>
      <w:r>
        <w:t xml:space="preserve">V případě účasti dalšího účastníka ze zahraniční: o údaje o skutečném majiteli zahraničního uchazeče. </w:t>
      </w:r>
    </w:p>
    <w:p w14:paraId="512D2F3E" w14:textId="77777777" w:rsidR="00C07CC9" w:rsidRDefault="00C07CC9" w:rsidP="004A64EB">
      <w:pPr>
        <w:jc w:val="both"/>
      </w:pPr>
    </w:p>
    <w:p w14:paraId="4D7A406E" w14:textId="77777777" w:rsidR="00C07CC9" w:rsidRPr="004A64EB" w:rsidRDefault="00C07CC9" w:rsidP="004A64EB">
      <w:pPr>
        <w:jc w:val="both"/>
        <w:rPr>
          <w:b/>
        </w:rPr>
      </w:pPr>
      <w:r w:rsidRPr="004A64EB">
        <w:rPr>
          <w:b/>
        </w:rPr>
        <w:t xml:space="preserve">Jaké dokumenty dokládá uchazeč (TA ČR může vyzvat jejich doložení) </w:t>
      </w:r>
    </w:p>
    <w:p w14:paraId="66068CCE" w14:textId="77777777" w:rsidR="00C07CC9" w:rsidRPr="00C07CC9" w:rsidRDefault="00C07CC9" w:rsidP="004A64EB">
      <w:pPr>
        <w:jc w:val="both"/>
        <w:rPr>
          <w:b/>
        </w:rPr>
      </w:pPr>
      <w:r w:rsidRPr="00C07CC9">
        <w:rPr>
          <w:b/>
        </w:rPr>
        <w:t xml:space="preserve">1. Prostřednictvím datové schránky: </w:t>
      </w:r>
    </w:p>
    <w:p w14:paraId="2454BAAA" w14:textId="77777777" w:rsidR="00C07CC9" w:rsidRDefault="00C07CC9" w:rsidP="004A64EB">
      <w:pPr>
        <w:pStyle w:val="Odstavecseseznamem"/>
        <w:numPr>
          <w:ilvl w:val="0"/>
          <w:numId w:val="30"/>
        </w:numPr>
        <w:jc w:val="both"/>
      </w:pPr>
      <w:r>
        <w:t xml:space="preserve">Čestné prohlášení za uchazeče. </w:t>
      </w:r>
    </w:p>
    <w:p w14:paraId="6189E0F3" w14:textId="77777777" w:rsidR="00C07CC9" w:rsidRDefault="00C07CC9" w:rsidP="004A64EB">
      <w:pPr>
        <w:jc w:val="both"/>
        <w:rPr>
          <w:b/>
        </w:rPr>
      </w:pPr>
      <w:r w:rsidRPr="00C07CC9">
        <w:rPr>
          <w:b/>
        </w:rPr>
        <w:lastRenderedPageBreak/>
        <w:t xml:space="preserve">2. Prostřednictvím příloh v návrhu projektu do ISTA: </w:t>
      </w:r>
    </w:p>
    <w:p w14:paraId="0187B847" w14:textId="77777777" w:rsidR="00C07CC9" w:rsidRPr="00C07CC9" w:rsidRDefault="00C07CC9" w:rsidP="004A64E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 xml:space="preserve">účetní závěrky za roky 2019, 2020, 2021 včetně potvrzení o zaslání na rejstříkový soud, pokud ještě nedošlo k jejich zveřejnění (pouze v případě, že zveřejnění účetních závěrek ukládá příslušný zákon); </w:t>
      </w:r>
    </w:p>
    <w:p w14:paraId="4EB521C8" w14:textId="77777777" w:rsidR="00C07CC9" w:rsidRPr="007051F3" w:rsidRDefault="00C07CC9" w:rsidP="004A64E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 xml:space="preserve">čestné prohlášení dalšího zahraničního účastníka, které bude obsahovat finanční položky potřebné k výpočtu podniku v obtížích za roky 2019, 2020 a 2021. Přikládá se do příloh návrhu projektu v ISTA. </w:t>
      </w:r>
    </w:p>
    <w:p w14:paraId="15DDD305" w14:textId="77777777" w:rsidR="004A64EB" w:rsidRDefault="004A64EB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</w:p>
    <w:p w14:paraId="79F53231" w14:textId="77777777" w:rsidR="003206E0" w:rsidRPr="009660DC" w:rsidRDefault="003206E0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Uchazeči si musí vybrat:</w:t>
      </w:r>
    </w:p>
    <w:p w14:paraId="4E9377AA" w14:textId="77777777" w:rsidR="00C07CC9" w:rsidRDefault="006C3E01" w:rsidP="004A64E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C07CC9">
        <w:rPr>
          <w:rFonts w:cstheme="minorHAnsi"/>
        </w:rPr>
        <w:t>cíle Národních priorit orientovaného výzkumu, experimentálního vývoje a inovací (NPOV)</w:t>
      </w:r>
    </w:p>
    <w:p w14:paraId="0A6283F6" w14:textId="77777777" w:rsidR="006C3E01" w:rsidRPr="00C07CC9" w:rsidRDefault="006C3E01" w:rsidP="004A64E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C07CC9">
        <w:rPr>
          <w:rFonts w:cstheme="minorHAnsi"/>
        </w:rPr>
        <w:t xml:space="preserve">obory podle Centrální evidence projektů (CEP) a podle </w:t>
      </w:r>
      <w:proofErr w:type="spellStart"/>
      <w:r w:rsidRPr="00C07CC9">
        <w:rPr>
          <w:rFonts w:cstheme="minorHAnsi"/>
        </w:rPr>
        <w:t>Fields</w:t>
      </w:r>
      <w:proofErr w:type="spellEnd"/>
      <w:r w:rsidRPr="00C07CC9">
        <w:rPr>
          <w:rFonts w:cstheme="minorHAnsi"/>
        </w:rPr>
        <w:t xml:space="preserve"> </w:t>
      </w:r>
      <w:proofErr w:type="spellStart"/>
      <w:r w:rsidRPr="00C07CC9">
        <w:rPr>
          <w:rFonts w:cstheme="minorHAnsi"/>
        </w:rPr>
        <w:t>of</w:t>
      </w:r>
      <w:proofErr w:type="spellEnd"/>
      <w:r w:rsidRPr="00C07CC9">
        <w:rPr>
          <w:rFonts w:cstheme="minorHAnsi"/>
        </w:rPr>
        <w:t xml:space="preserve"> </w:t>
      </w:r>
      <w:proofErr w:type="spellStart"/>
      <w:r w:rsidRPr="00C07CC9">
        <w:rPr>
          <w:rFonts w:cstheme="minorHAnsi"/>
        </w:rPr>
        <w:t>Research</w:t>
      </w:r>
      <w:proofErr w:type="spellEnd"/>
      <w:r w:rsidRPr="00C07CC9">
        <w:rPr>
          <w:rFonts w:cstheme="minorHAnsi"/>
        </w:rPr>
        <w:t xml:space="preserve"> and Development – Oblasti výzkumu a vývoje (FORD)</w:t>
      </w:r>
      <w:r w:rsidR="00C07CC9">
        <w:rPr>
          <w:rFonts w:cstheme="minorHAnsi"/>
        </w:rPr>
        <w:t xml:space="preserve"> a podle číselníku TAČR</w:t>
      </w:r>
      <w:r w:rsidRPr="00C07CC9">
        <w:rPr>
          <w:rFonts w:cstheme="minorHAnsi"/>
        </w:rPr>
        <w:t xml:space="preserve">. </w:t>
      </w:r>
    </w:p>
    <w:p w14:paraId="006D279F" w14:textId="77777777" w:rsidR="00421000" w:rsidRDefault="006C3E01" w:rsidP="004A64E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9660DC">
        <w:rPr>
          <w:rFonts w:cstheme="minorHAnsi"/>
        </w:rPr>
        <w:t xml:space="preserve">Výzkumná podstata – dle zaměření návrhu projektu zařadíte návrh projektu do jedné ze skupin: vědy o přírodě (biologické, geografické, geologické a lékařské vědy, lesnictví, zemědělství atd.), humanitní a společenské vědy (včetně sociologie, EVVO, práva, </w:t>
      </w:r>
      <w:proofErr w:type="spellStart"/>
      <w:r w:rsidRPr="009660DC">
        <w:rPr>
          <w:rFonts w:cstheme="minorHAnsi"/>
        </w:rPr>
        <w:t>ekopsychologie</w:t>
      </w:r>
      <w:proofErr w:type="spellEnd"/>
      <w:r w:rsidRPr="009660DC">
        <w:rPr>
          <w:rFonts w:cstheme="minorHAnsi"/>
        </w:rPr>
        <w:t xml:space="preserve"> a spotřebitelského chování) nebo technické a ostatní vědy</w:t>
      </w:r>
    </w:p>
    <w:p w14:paraId="7695BB87" w14:textId="77777777" w:rsidR="007051F3" w:rsidRPr="009660DC" w:rsidRDefault="007051F3" w:rsidP="004A64E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Soulad s Národní RIS3 strategií</w:t>
      </w:r>
    </w:p>
    <w:p w14:paraId="69480FCB" w14:textId="77777777" w:rsidR="00F26019" w:rsidRDefault="00F26019" w:rsidP="004A64EB">
      <w:pPr>
        <w:jc w:val="both"/>
      </w:pPr>
    </w:p>
    <w:p w14:paraId="0C92DDC1" w14:textId="77777777" w:rsidR="007051F3" w:rsidRDefault="007051F3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 w:rsidRPr="007051F3">
        <w:rPr>
          <w:rFonts w:cstheme="minorHAnsi"/>
          <w:b/>
          <w:i/>
          <w:color w:val="0070C0"/>
          <w:sz w:val="28"/>
          <w:szCs w:val="28"/>
        </w:rPr>
        <w:t>Hodnocení</w:t>
      </w:r>
      <w:r>
        <w:rPr>
          <w:rFonts w:cstheme="minorHAnsi"/>
          <w:b/>
          <w:i/>
          <w:color w:val="0070C0"/>
          <w:sz w:val="28"/>
          <w:szCs w:val="28"/>
        </w:rPr>
        <w:t>:</w:t>
      </w:r>
    </w:p>
    <w:p w14:paraId="7951E404" w14:textId="77777777" w:rsidR="007051F3" w:rsidRDefault="007051F3" w:rsidP="004A64EB">
      <w:pPr>
        <w:jc w:val="both"/>
        <w:rPr>
          <w:rFonts w:cstheme="minorHAnsi"/>
          <w:b/>
          <w:i/>
          <w:color w:val="0070C0"/>
          <w:sz w:val="28"/>
          <w:szCs w:val="28"/>
        </w:rPr>
      </w:pPr>
      <w:r>
        <w:t>Podrobnosti k hodnocení jednotlivých hodnoticích stupňů, seznam hodnoticích kritérií spolu se skutečnostmi, které budou hodnoceny v rámci jednotlivých kritérií, jsou uvedeny v příloze zadávací dokumentace č. 2 – Hodnoticí proces.</w:t>
      </w:r>
    </w:p>
    <w:p w14:paraId="55A5626A" w14:textId="77777777" w:rsidR="007051F3" w:rsidRPr="007051F3" w:rsidRDefault="007051F3" w:rsidP="004A64EB">
      <w:pPr>
        <w:pStyle w:val="Odstavecseseznamem"/>
        <w:numPr>
          <w:ilvl w:val="0"/>
          <w:numId w:val="32"/>
        </w:numPr>
        <w:jc w:val="both"/>
      </w:pPr>
      <w:r>
        <w:t>Binární kritéria - 2 - binární kritérium č. 1 se bude hodnotit u obou podprogramů, binární kritérium č. 2 se bude hodnotit pouze u podprogramu 2.</w:t>
      </w:r>
    </w:p>
    <w:p w14:paraId="44BD6B2D" w14:textId="77777777" w:rsidR="007051F3" w:rsidRDefault="007051F3" w:rsidP="004A64EB">
      <w:pPr>
        <w:pStyle w:val="Odstavecseseznamem"/>
        <w:numPr>
          <w:ilvl w:val="0"/>
          <w:numId w:val="32"/>
        </w:numPr>
        <w:jc w:val="both"/>
      </w:pPr>
      <w:r w:rsidRPr="007051F3">
        <w:t xml:space="preserve">Bodová kritéria </w:t>
      </w:r>
      <w:r>
        <w:t>–</w:t>
      </w:r>
      <w:r w:rsidRPr="007051F3">
        <w:t xml:space="preserve"> 9</w:t>
      </w:r>
    </w:p>
    <w:p w14:paraId="31C5820D" w14:textId="77777777" w:rsidR="007051F3" w:rsidRPr="007051F3" w:rsidRDefault="007051F3" w:rsidP="004A64EB">
      <w:pPr>
        <w:pStyle w:val="Odstavecseseznamem"/>
        <w:numPr>
          <w:ilvl w:val="0"/>
          <w:numId w:val="32"/>
        </w:numPr>
        <w:jc w:val="both"/>
      </w:pPr>
      <w:r>
        <w:t>Bonifikační kritéria - 1</w:t>
      </w:r>
    </w:p>
    <w:sectPr w:rsidR="007051F3" w:rsidRPr="0070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329D7"/>
    <w:multiLevelType w:val="hybridMultilevel"/>
    <w:tmpl w:val="4D3732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500726"/>
    <w:multiLevelType w:val="hybridMultilevel"/>
    <w:tmpl w:val="0CA48B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5CE996"/>
    <w:multiLevelType w:val="hybridMultilevel"/>
    <w:tmpl w:val="01416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F57B60"/>
    <w:multiLevelType w:val="hybridMultilevel"/>
    <w:tmpl w:val="305C813E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49E0"/>
    <w:multiLevelType w:val="hybridMultilevel"/>
    <w:tmpl w:val="D10A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86E34"/>
    <w:multiLevelType w:val="hybridMultilevel"/>
    <w:tmpl w:val="11B0E17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3F0"/>
    <w:multiLevelType w:val="hybridMultilevel"/>
    <w:tmpl w:val="997E1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72B0"/>
    <w:multiLevelType w:val="hybridMultilevel"/>
    <w:tmpl w:val="3802F98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8FB07E9"/>
    <w:multiLevelType w:val="hybridMultilevel"/>
    <w:tmpl w:val="6E8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992"/>
    <w:multiLevelType w:val="hybridMultilevel"/>
    <w:tmpl w:val="E5D6FEE8"/>
    <w:lvl w:ilvl="0" w:tplc="09508C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9C24D"/>
    <w:multiLevelType w:val="hybridMultilevel"/>
    <w:tmpl w:val="9FAA40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1899"/>
    <w:multiLevelType w:val="hybridMultilevel"/>
    <w:tmpl w:val="A29E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744B"/>
    <w:multiLevelType w:val="hybridMultilevel"/>
    <w:tmpl w:val="3F7A9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87A73"/>
    <w:multiLevelType w:val="hybridMultilevel"/>
    <w:tmpl w:val="CFC66C1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C256957"/>
    <w:multiLevelType w:val="hybridMultilevel"/>
    <w:tmpl w:val="0A6C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5135"/>
    <w:multiLevelType w:val="hybridMultilevel"/>
    <w:tmpl w:val="311E98F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C6117"/>
    <w:multiLevelType w:val="hybridMultilevel"/>
    <w:tmpl w:val="E4B6BA5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5444E"/>
    <w:multiLevelType w:val="hybridMultilevel"/>
    <w:tmpl w:val="5798CE1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1675A"/>
    <w:multiLevelType w:val="hybridMultilevel"/>
    <w:tmpl w:val="687E0A00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94934"/>
    <w:multiLevelType w:val="hybridMultilevel"/>
    <w:tmpl w:val="8E4A133C"/>
    <w:lvl w:ilvl="0" w:tplc="B8C86C84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3667"/>
    <w:multiLevelType w:val="hybridMultilevel"/>
    <w:tmpl w:val="8158985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A0575"/>
    <w:multiLevelType w:val="hybridMultilevel"/>
    <w:tmpl w:val="A1F5C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0294A1B"/>
    <w:multiLevelType w:val="hybridMultilevel"/>
    <w:tmpl w:val="3ED4DF1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A3F74"/>
    <w:multiLevelType w:val="hybridMultilevel"/>
    <w:tmpl w:val="0FB031E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200BC"/>
    <w:multiLevelType w:val="hybridMultilevel"/>
    <w:tmpl w:val="A29CCED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F6ED1"/>
    <w:multiLevelType w:val="hybridMultilevel"/>
    <w:tmpl w:val="4AC4A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D7846"/>
    <w:multiLevelType w:val="hybridMultilevel"/>
    <w:tmpl w:val="9238ED56"/>
    <w:lvl w:ilvl="0" w:tplc="F27ACF20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8"/>
  </w:num>
  <w:num w:numId="4">
    <w:abstractNumId w:val="11"/>
  </w:num>
  <w:num w:numId="5">
    <w:abstractNumId w:val="25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15"/>
  </w:num>
  <w:num w:numId="13">
    <w:abstractNumId w:val="22"/>
  </w:num>
  <w:num w:numId="14">
    <w:abstractNumId w:val="3"/>
  </w:num>
  <w:num w:numId="15">
    <w:abstractNumId w:val="29"/>
  </w:num>
  <w:num w:numId="16">
    <w:abstractNumId w:val="31"/>
  </w:num>
  <w:num w:numId="17">
    <w:abstractNumId w:val="21"/>
  </w:num>
  <w:num w:numId="18">
    <w:abstractNumId w:val="23"/>
  </w:num>
  <w:num w:numId="19">
    <w:abstractNumId w:val="26"/>
  </w:num>
  <w:num w:numId="20">
    <w:abstractNumId w:val="27"/>
  </w:num>
  <w:num w:numId="21">
    <w:abstractNumId w:val="24"/>
  </w:num>
  <w:num w:numId="22">
    <w:abstractNumId w:val="9"/>
  </w:num>
  <w:num w:numId="23">
    <w:abstractNumId w:val="20"/>
  </w:num>
  <w:num w:numId="24">
    <w:abstractNumId w:val="4"/>
  </w:num>
  <w:num w:numId="25">
    <w:abstractNumId w:val="16"/>
  </w:num>
  <w:num w:numId="26">
    <w:abstractNumId w:val="5"/>
  </w:num>
  <w:num w:numId="27">
    <w:abstractNumId w:val="19"/>
  </w:num>
  <w:num w:numId="28">
    <w:abstractNumId w:val="14"/>
  </w:num>
  <w:num w:numId="29">
    <w:abstractNumId w:val="30"/>
  </w:num>
  <w:num w:numId="30">
    <w:abstractNumId w:val="6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47AF3"/>
    <w:rsid w:val="000662D1"/>
    <w:rsid w:val="00097BCB"/>
    <w:rsid w:val="000A264A"/>
    <w:rsid w:val="000E682C"/>
    <w:rsid w:val="002F5503"/>
    <w:rsid w:val="003206E0"/>
    <w:rsid w:val="003452D3"/>
    <w:rsid w:val="00347C7E"/>
    <w:rsid w:val="00403EFD"/>
    <w:rsid w:val="00413EBE"/>
    <w:rsid w:val="00421000"/>
    <w:rsid w:val="00443261"/>
    <w:rsid w:val="00450019"/>
    <w:rsid w:val="00497FD6"/>
    <w:rsid w:val="004A64EB"/>
    <w:rsid w:val="00552543"/>
    <w:rsid w:val="00563DF1"/>
    <w:rsid w:val="0057770F"/>
    <w:rsid w:val="00584ACC"/>
    <w:rsid w:val="006B55A1"/>
    <w:rsid w:val="006C3E01"/>
    <w:rsid w:val="00700F9B"/>
    <w:rsid w:val="007051F3"/>
    <w:rsid w:val="00756314"/>
    <w:rsid w:val="007C2781"/>
    <w:rsid w:val="007F213B"/>
    <w:rsid w:val="00837385"/>
    <w:rsid w:val="00894BEB"/>
    <w:rsid w:val="008A1221"/>
    <w:rsid w:val="008B71B9"/>
    <w:rsid w:val="009660DC"/>
    <w:rsid w:val="00986FDE"/>
    <w:rsid w:val="009A6497"/>
    <w:rsid w:val="009F357C"/>
    <w:rsid w:val="00A01D4F"/>
    <w:rsid w:val="00A24015"/>
    <w:rsid w:val="00A5483D"/>
    <w:rsid w:val="00AD3531"/>
    <w:rsid w:val="00B723D0"/>
    <w:rsid w:val="00C07CC9"/>
    <w:rsid w:val="00C10D9F"/>
    <w:rsid w:val="00C9112F"/>
    <w:rsid w:val="00CD1210"/>
    <w:rsid w:val="00CD4C16"/>
    <w:rsid w:val="00D33814"/>
    <w:rsid w:val="00D41249"/>
    <w:rsid w:val="00D66035"/>
    <w:rsid w:val="00E00838"/>
    <w:rsid w:val="00E13EC8"/>
    <w:rsid w:val="00E85449"/>
    <w:rsid w:val="00EB3EF0"/>
    <w:rsid w:val="00F148C0"/>
    <w:rsid w:val="00F26019"/>
    <w:rsid w:val="00F3281D"/>
    <w:rsid w:val="00F71A82"/>
    <w:rsid w:val="00FA37B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8BB6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097B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3281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4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cerova@vutbr.cz" TargetMode="External"/><Relationship Id="rId13" Type="http://schemas.openxmlformats.org/officeDocument/2006/relationships/hyperlink" Target="https://www.tacr.cz/soutez/program-prostredi-pro-zivot/sedma-verejna-soutez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skova@vutb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ondrouskova@vutb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orka@vutbr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kovam@vutbr.cz" TargetMode="External"/><Relationship Id="rId14" Type="http://schemas.openxmlformats.org/officeDocument/2006/relationships/hyperlink" Target="https://ista.tacr.cz/ISTA/action/Login/?actionId=26177460554028970&amp;step=0&amp;ts=1560349268592&amp;hash=PIPB5ah8Cwz2I7whWtNq7A==&amp;nbl=tru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13439-6DE6-4B58-A24A-840264A6CAE7}"/>
</file>

<file path=customXml/itemProps2.xml><?xml version="1.0" encoding="utf-8"?>
<ds:datastoreItem xmlns:ds="http://schemas.openxmlformats.org/officeDocument/2006/customXml" ds:itemID="{8CCAD1C8-2A0C-477A-873F-395E11B129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58F6A2-72D4-4A97-8D3C-248A280A2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2023-07-17T10:13:00Z</dcterms:created>
  <dcterms:modified xsi:type="dcterms:W3CDTF">2023-07-17T10:13:00Z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