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16A7" w14:textId="77777777" w:rsidR="00202044" w:rsidRPr="00415583" w:rsidRDefault="00C07767" w:rsidP="00C07767">
      <w:pPr>
        <w:rPr>
          <w:b/>
          <w:color w:val="1F4E79" w:themeColor="accent1" w:themeShade="80"/>
          <w:sz w:val="36"/>
          <w:szCs w:val="28"/>
        </w:rPr>
      </w:pPr>
      <w:r w:rsidRPr="00415583">
        <w:rPr>
          <w:b/>
          <w:color w:val="1F4E79" w:themeColor="accent1" w:themeShade="80"/>
          <w:sz w:val="36"/>
          <w:szCs w:val="28"/>
        </w:rPr>
        <w:t>5</w:t>
      </w:r>
      <w:r w:rsidR="005F4E49" w:rsidRPr="00415583">
        <w:rPr>
          <w:b/>
          <w:color w:val="1F4E79" w:themeColor="accent1" w:themeShade="80"/>
          <w:sz w:val="36"/>
          <w:szCs w:val="28"/>
        </w:rPr>
        <w:t xml:space="preserve">. </w:t>
      </w:r>
      <w:r w:rsidR="0057770F" w:rsidRPr="00415583">
        <w:rPr>
          <w:b/>
          <w:color w:val="1F4E79" w:themeColor="accent1" w:themeShade="80"/>
          <w:sz w:val="36"/>
          <w:szCs w:val="28"/>
        </w:rPr>
        <w:t xml:space="preserve">veřejná soutěž programu </w:t>
      </w:r>
      <w:r w:rsidR="00BE6CDC" w:rsidRPr="00415583">
        <w:rPr>
          <w:b/>
          <w:color w:val="1F4E79" w:themeColor="accent1" w:themeShade="80"/>
          <w:sz w:val="36"/>
          <w:szCs w:val="28"/>
        </w:rPr>
        <w:t>DELTA2</w:t>
      </w:r>
    </w:p>
    <w:p w14:paraId="6462F6A2" w14:textId="77777777" w:rsidR="0057770F" w:rsidRDefault="0057770F" w:rsidP="0057770F"/>
    <w:p w14:paraId="439C8955" w14:textId="77777777"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Důležité termíny:</w:t>
      </w:r>
    </w:p>
    <w:p w14:paraId="674D4B9B" w14:textId="77777777" w:rsidR="0057770F" w:rsidRPr="0057770F" w:rsidRDefault="0057770F" w:rsidP="007C2781">
      <w:pPr>
        <w:spacing w:line="240" w:lineRule="auto"/>
        <w:rPr>
          <w:b/>
        </w:rPr>
      </w:pPr>
      <w:r>
        <w:t xml:space="preserve">Soutěžní lhůta začíná: </w:t>
      </w:r>
      <w:r w:rsidR="00CF3509">
        <w:rPr>
          <w:b/>
        </w:rPr>
        <w:t>1</w:t>
      </w:r>
      <w:r w:rsidR="00C07767">
        <w:rPr>
          <w:b/>
        </w:rPr>
        <w:t>8</w:t>
      </w:r>
      <w:r w:rsidR="00CF3509">
        <w:rPr>
          <w:b/>
        </w:rPr>
        <w:t>. 5</w:t>
      </w:r>
      <w:r w:rsidR="005F4E49">
        <w:rPr>
          <w:b/>
        </w:rPr>
        <w:t>.</w:t>
      </w:r>
      <w:r w:rsidR="00CF3509">
        <w:rPr>
          <w:b/>
        </w:rPr>
        <w:t xml:space="preserve"> </w:t>
      </w:r>
      <w:r w:rsidR="005F4E49">
        <w:rPr>
          <w:b/>
        </w:rPr>
        <w:t>202</w:t>
      </w:r>
      <w:r w:rsidR="00C07767">
        <w:rPr>
          <w:b/>
        </w:rPr>
        <w:t>3</w:t>
      </w:r>
    </w:p>
    <w:p w14:paraId="1B5A6F53" w14:textId="77777777" w:rsidR="0057770F" w:rsidRDefault="0057770F" w:rsidP="007C2781">
      <w:pPr>
        <w:spacing w:line="240" w:lineRule="auto"/>
      </w:pPr>
      <w:r>
        <w:t xml:space="preserve">Soutěžní lhůta končí: </w:t>
      </w:r>
      <w:r w:rsidR="00CF3509">
        <w:rPr>
          <w:b/>
        </w:rPr>
        <w:t>1</w:t>
      </w:r>
      <w:r w:rsidR="00C07767">
        <w:rPr>
          <w:b/>
        </w:rPr>
        <w:t>9</w:t>
      </w:r>
      <w:r w:rsidR="00CF3509">
        <w:rPr>
          <w:b/>
        </w:rPr>
        <w:t>. 7. 202</w:t>
      </w:r>
      <w:r w:rsidR="00C07767">
        <w:rPr>
          <w:b/>
        </w:rPr>
        <w:t>3</w:t>
      </w:r>
      <w:r>
        <w:t xml:space="preserve"> do 1</w:t>
      </w:r>
      <w:r w:rsidR="00CC39C8">
        <w:t>6</w:t>
      </w:r>
      <w:r>
        <w:t xml:space="preserve">.30 pro podání projektu; </w:t>
      </w:r>
    </w:p>
    <w:p w14:paraId="776D79D9" w14:textId="77777777" w:rsidR="0057770F" w:rsidRDefault="00CF3509" w:rsidP="007C2781">
      <w:pPr>
        <w:spacing w:line="240" w:lineRule="auto"/>
        <w:ind w:left="2937"/>
      </w:pPr>
      <w:r>
        <w:t xml:space="preserve"> </w:t>
      </w:r>
      <w:r w:rsidR="0057770F">
        <w:t xml:space="preserve">do 23.59 pro zaslání Potvrzení podání elektronického návrhu a    </w:t>
      </w:r>
      <w:r>
        <w:t xml:space="preserve"> </w:t>
      </w:r>
      <w:r w:rsidR="0057770F">
        <w:t>potvrzení způsobilosti uchazeče</w:t>
      </w:r>
      <w:r>
        <w:t xml:space="preserve"> z datové schránky hlavního uchazeče na datovou schránku TAČR</w:t>
      </w:r>
      <w:r w:rsidR="005918A0">
        <w:t xml:space="preserve">, v datovém poli Věc bude uvedeno: </w:t>
      </w:r>
      <w:r w:rsidR="005918A0" w:rsidRPr="005918A0">
        <w:t>„</w:t>
      </w:r>
      <w:r w:rsidR="00C07767">
        <w:t>5. veřejná soutěž programu</w:t>
      </w:r>
      <w:r w:rsidR="005918A0" w:rsidRPr="005918A0">
        <w:t xml:space="preserve"> DELTA 2 – Potvrzení podání“</w:t>
      </w:r>
      <w:r>
        <w:t xml:space="preserve">, </w:t>
      </w:r>
      <w:r>
        <w:rPr>
          <w:rFonts w:ascii="Open Sans" w:hAnsi="Open Sans" w:cs="Segoe UI"/>
          <w:color w:val="292929"/>
        </w:rPr>
        <w:t>ID datové schránky TA ČR: afth9xp</w:t>
      </w:r>
    </w:p>
    <w:p w14:paraId="3DE86A99" w14:textId="77777777" w:rsidR="00894BEB" w:rsidRPr="00DA38BF" w:rsidRDefault="00894BEB" w:rsidP="007C2781">
      <w:pPr>
        <w:spacing w:line="240" w:lineRule="auto"/>
        <w:rPr>
          <w:b/>
        </w:rPr>
      </w:pPr>
      <w:r w:rsidRPr="00DA38BF">
        <w:t>Vyhlášení výsledků soutěže:</w:t>
      </w:r>
      <w:r w:rsidRPr="00DA38BF">
        <w:rPr>
          <w:b/>
        </w:rPr>
        <w:t xml:space="preserve"> do </w:t>
      </w:r>
      <w:r w:rsidR="006A5CBC" w:rsidRPr="00DA38BF">
        <w:rPr>
          <w:b/>
        </w:rPr>
        <w:t>30</w:t>
      </w:r>
      <w:r w:rsidR="00AF3498" w:rsidRPr="00DA38BF">
        <w:rPr>
          <w:b/>
        </w:rPr>
        <w:t>. 11. 202</w:t>
      </w:r>
      <w:r w:rsidR="00C07767">
        <w:rPr>
          <w:b/>
        </w:rPr>
        <w:t>3</w:t>
      </w:r>
    </w:p>
    <w:p w14:paraId="184E57A9" w14:textId="77777777" w:rsidR="00894BEB" w:rsidRDefault="00894BEB" w:rsidP="007C2781">
      <w:pPr>
        <w:spacing w:line="240" w:lineRule="auto"/>
        <w:rPr>
          <w:b/>
        </w:rPr>
      </w:pPr>
      <w:r w:rsidRPr="00DA38BF">
        <w:t>Zahájení řešení projektu:</w:t>
      </w:r>
      <w:r w:rsidRPr="00DA38BF">
        <w:rPr>
          <w:b/>
        </w:rPr>
        <w:t xml:space="preserve"> </w:t>
      </w:r>
      <w:r w:rsidR="00364EAC">
        <w:rPr>
          <w:b/>
        </w:rPr>
        <w:t>leden</w:t>
      </w:r>
      <w:r w:rsidR="00AF3498" w:rsidRPr="00DA38BF">
        <w:rPr>
          <w:b/>
        </w:rPr>
        <w:t xml:space="preserve"> </w:t>
      </w:r>
      <w:proofErr w:type="gramStart"/>
      <w:r w:rsidR="00AF3498" w:rsidRPr="00DA38BF">
        <w:rPr>
          <w:b/>
        </w:rPr>
        <w:t>202</w:t>
      </w:r>
      <w:r w:rsidR="00C07767">
        <w:rPr>
          <w:b/>
        </w:rPr>
        <w:t>4</w:t>
      </w:r>
      <w:r w:rsidR="00AF3498" w:rsidRPr="00DA38BF">
        <w:rPr>
          <w:b/>
        </w:rPr>
        <w:t xml:space="preserve"> – </w:t>
      </w:r>
      <w:r w:rsidR="00C07767">
        <w:rPr>
          <w:b/>
        </w:rPr>
        <w:t>únor</w:t>
      </w:r>
      <w:proofErr w:type="gramEnd"/>
      <w:r w:rsidR="00AF3498" w:rsidRPr="00DA38BF">
        <w:rPr>
          <w:b/>
        </w:rPr>
        <w:t xml:space="preserve"> 202</w:t>
      </w:r>
      <w:r w:rsidR="00C07767">
        <w:rPr>
          <w:b/>
        </w:rPr>
        <w:t>4</w:t>
      </w:r>
    </w:p>
    <w:p w14:paraId="1085AD56" w14:textId="77777777" w:rsidR="001521AE" w:rsidRDefault="001521AE" w:rsidP="007C2781">
      <w:pPr>
        <w:spacing w:line="240" w:lineRule="auto"/>
        <w:rPr>
          <w:b/>
        </w:rPr>
      </w:pPr>
      <w:r w:rsidRPr="001521AE">
        <w:t>Nejza</w:t>
      </w:r>
      <w:r>
        <w:t>z</w:t>
      </w:r>
      <w:r w:rsidRPr="001521AE">
        <w:t>ší termín ukončení projektu:</w:t>
      </w:r>
      <w:r>
        <w:rPr>
          <w:b/>
        </w:rPr>
        <w:t xml:space="preserve"> prosinec 2025</w:t>
      </w:r>
    </w:p>
    <w:p w14:paraId="735785E5" w14:textId="77777777" w:rsidR="00894BEB" w:rsidRDefault="00894BEB" w:rsidP="007C2781">
      <w:pPr>
        <w:spacing w:line="240" w:lineRule="auto"/>
        <w:rPr>
          <w:b/>
        </w:rPr>
      </w:pPr>
      <w:r w:rsidRPr="00DA38BF">
        <w:t>Délka řešení projektu:</w:t>
      </w:r>
      <w:r w:rsidRPr="00DA38BF">
        <w:rPr>
          <w:b/>
        </w:rPr>
        <w:t xml:space="preserve"> </w:t>
      </w:r>
      <w:proofErr w:type="gramStart"/>
      <w:r w:rsidRPr="00DA38BF">
        <w:rPr>
          <w:b/>
        </w:rPr>
        <w:t xml:space="preserve">12 – </w:t>
      </w:r>
      <w:r w:rsidR="00C07767">
        <w:rPr>
          <w:b/>
        </w:rPr>
        <w:t>24</w:t>
      </w:r>
      <w:proofErr w:type="gramEnd"/>
      <w:r w:rsidRPr="00DA38BF">
        <w:rPr>
          <w:b/>
        </w:rPr>
        <w:t xml:space="preserve"> měsíců</w:t>
      </w:r>
    </w:p>
    <w:p w14:paraId="7FB8913B" w14:textId="77777777" w:rsidR="0057770F" w:rsidRDefault="0057770F" w:rsidP="0057770F">
      <w:pPr>
        <w:rPr>
          <w:b/>
        </w:rPr>
      </w:pPr>
    </w:p>
    <w:p w14:paraId="66A88C20" w14:textId="77777777" w:rsidR="005E71F4" w:rsidRPr="008F2375" w:rsidRDefault="005E71F4" w:rsidP="005E71F4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Kontaktní osoby:</w:t>
      </w:r>
    </w:p>
    <w:p w14:paraId="6B14A607" w14:textId="77777777" w:rsidR="00C07767" w:rsidRPr="00C07767" w:rsidRDefault="00C07767" w:rsidP="00C07767">
      <w:pPr>
        <w:spacing w:after="0"/>
        <w:rPr>
          <w:b/>
        </w:rPr>
      </w:pPr>
      <w:r w:rsidRPr="002A7ABA">
        <w:rPr>
          <w:rFonts w:cstheme="minorHAnsi"/>
          <w:b/>
        </w:rPr>
        <w:t>Soutěž TAČR na VUT Brno – Ing. Veronika Pilcerová (</w:t>
      </w:r>
      <w:hyperlink r:id="rId5" w:history="1">
        <w:r w:rsidRPr="002A7ABA">
          <w:rPr>
            <w:rStyle w:val="Hypertextovodkaz"/>
            <w:rFonts w:cstheme="minorHAnsi"/>
            <w:b/>
          </w:rPr>
          <w:t>pilcerova@vutbr.cz</w:t>
        </w:r>
      </w:hyperlink>
      <w:r w:rsidRPr="002A7ABA">
        <w:rPr>
          <w:rFonts w:cstheme="minorHAnsi"/>
          <w:b/>
        </w:rPr>
        <w:t>, kl. 5237)</w:t>
      </w:r>
    </w:p>
    <w:p w14:paraId="123244CB" w14:textId="77777777" w:rsidR="00C07767" w:rsidRPr="002A7ABA" w:rsidRDefault="00C07767" w:rsidP="00C07767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 xml:space="preserve">Duševní vlastnictví, konzultace smlouvy mezi uchazeči, </w:t>
      </w:r>
      <w:proofErr w:type="spellStart"/>
      <w:r w:rsidRPr="002A7ABA">
        <w:rPr>
          <w:rFonts w:cstheme="minorHAnsi"/>
          <w:b/>
        </w:rPr>
        <w:t>Letter</w:t>
      </w:r>
      <w:proofErr w:type="spellEnd"/>
      <w:r w:rsidRPr="002A7ABA">
        <w:rPr>
          <w:rFonts w:cstheme="minorHAnsi"/>
          <w:b/>
        </w:rPr>
        <w:t xml:space="preserve"> </w:t>
      </w:r>
      <w:proofErr w:type="spellStart"/>
      <w:r w:rsidRPr="002A7ABA">
        <w:rPr>
          <w:rFonts w:cstheme="minorHAnsi"/>
          <w:b/>
        </w:rPr>
        <w:t>of</w:t>
      </w:r>
      <w:proofErr w:type="spellEnd"/>
      <w:r w:rsidRPr="002A7ABA">
        <w:rPr>
          <w:rFonts w:cstheme="minorHAnsi"/>
          <w:b/>
        </w:rPr>
        <w:t xml:space="preserve"> </w:t>
      </w:r>
      <w:proofErr w:type="spellStart"/>
      <w:r w:rsidRPr="002A7ABA">
        <w:rPr>
          <w:rFonts w:cstheme="minorHAnsi"/>
          <w:b/>
        </w:rPr>
        <w:t>intent</w:t>
      </w:r>
      <w:proofErr w:type="spellEnd"/>
      <w:r w:rsidRPr="002A7ABA">
        <w:rPr>
          <w:rFonts w:cstheme="minorHAnsi"/>
          <w:b/>
        </w:rPr>
        <w:t xml:space="preserve"> – OTT – Mgr. Michaela Daňková (</w:t>
      </w:r>
      <w:hyperlink r:id="rId6" w:history="1">
        <w:r w:rsidRPr="002A7ABA">
          <w:rPr>
            <w:rStyle w:val="Hypertextovodkaz"/>
            <w:rFonts w:cstheme="minorHAnsi"/>
            <w:b/>
          </w:rPr>
          <w:t>dankovam@vutbr.cz</w:t>
        </w:r>
      </w:hyperlink>
      <w:r w:rsidRPr="002A7ABA">
        <w:rPr>
          <w:rFonts w:cstheme="minorHAnsi"/>
          <w:b/>
        </w:rPr>
        <w:t>, kl. 4228)</w:t>
      </w:r>
    </w:p>
    <w:p w14:paraId="2D85E91A" w14:textId="77777777" w:rsidR="00C07767" w:rsidRPr="002A7ABA" w:rsidRDefault="00C07767" w:rsidP="00C07767">
      <w:pPr>
        <w:spacing w:after="0" w:line="240" w:lineRule="auto"/>
        <w:jc w:val="both"/>
        <w:rPr>
          <w:rFonts w:cstheme="minorHAnsi"/>
          <w:b/>
        </w:rPr>
      </w:pPr>
      <w:r w:rsidRPr="002A7ABA">
        <w:rPr>
          <w:rFonts w:cstheme="minorHAnsi"/>
          <w:b/>
        </w:rPr>
        <w:t xml:space="preserve">Proces průběhu ochrany duševního vlastnictví (vč. podání přihlášky patentu, užitného vzoru nebo průmyslového vzoru) – JUDr. Iva Horká </w:t>
      </w:r>
      <w:hyperlink r:id="rId7" w:history="1">
        <w:r w:rsidRPr="002A7ABA">
          <w:rPr>
            <w:rStyle w:val="Hypertextovodkaz"/>
            <w:rFonts w:cstheme="minorHAnsi"/>
            <w:b/>
          </w:rPr>
          <w:t>horka@vutbr.cz</w:t>
        </w:r>
      </w:hyperlink>
      <w:r w:rsidRPr="002A7ABA">
        <w:rPr>
          <w:rFonts w:cstheme="minorHAnsi"/>
          <w:b/>
        </w:rPr>
        <w:t xml:space="preserve">, kl.4225; Ing. Jana Ondroušková, </w:t>
      </w:r>
      <w:proofErr w:type="spellStart"/>
      <w:r w:rsidRPr="002A7ABA">
        <w:rPr>
          <w:rFonts w:cstheme="minorHAnsi"/>
          <w:b/>
        </w:rPr>
        <w:t>Ph.d.</w:t>
      </w:r>
      <w:proofErr w:type="spellEnd"/>
      <w:r w:rsidRPr="002A7ABA">
        <w:rPr>
          <w:rFonts w:cstheme="minorHAnsi"/>
          <w:b/>
        </w:rPr>
        <w:t xml:space="preserve"> </w:t>
      </w:r>
      <w:hyperlink r:id="rId8" w:history="1">
        <w:r w:rsidRPr="002A7ABA">
          <w:rPr>
            <w:rStyle w:val="Hypertextovodkaz"/>
            <w:rFonts w:cstheme="minorHAnsi"/>
            <w:b/>
          </w:rPr>
          <w:t>jana.ondrouskova@vutbr.cz</w:t>
        </w:r>
      </w:hyperlink>
      <w:r w:rsidRPr="002A7ABA">
        <w:rPr>
          <w:rFonts w:cstheme="minorHAnsi"/>
          <w:b/>
        </w:rPr>
        <w:t xml:space="preserve"> , kl. 4224; Bc. Sára Sepšiová </w:t>
      </w:r>
      <w:hyperlink r:id="rId9" w:history="1">
        <w:r w:rsidRPr="002A7ABA">
          <w:rPr>
            <w:rStyle w:val="Hypertextovodkaz"/>
            <w:rFonts w:cstheme="minorHAnsi"/>
            <w:b/>
          </w:rPr>
          <w:t>sepsiova@vutbr.cz</w:t>
        </w:r>
      </w:hyperlink>
      <w:r w:rsidRPr="002A7ABA">
        <w:rPr>
          <w:rFonts w:cstheme="minorHAnsi"/>
          <w:b/>
        </w:rPr>
        <w:t xml:space="preserve"> , kl. </w:t>
      </w:r>
      <w:proofErr w:type="gramStart"/>
      <w:r w:rsidRPr="002A7ABA">
        <w:rPr>
          <w:rFonts w:cstheme="minorHAnsi"/>
          <w:b/>
        </w:rPr>
        <w:t>4230 )</w:t>
      </w:r>
      <w:proofErr w:type="gramEnd"/>
    </w:p>
    <w:p w14:paraId="054C5D9F" w14:textId="77777777" w:rsidR="00C07767" w:rsidRDefault="00C07767" w:rsidP="00C07767">
      <w:pPr>
        <w:spacing w:after="0"/>
        <w:rPr>
          <w:rFonts w:cstheme="minorHAnsi"/>
          <w:b/>
        </w:rPr>
      </w:pPr>
      <w:r w:rsidRPr="002A7ABA">
        <w:rPr>
          <w:rFonts w:cstheme="minorHAnsi"/>
          <w:b/>
        </w:rPr>
        <w:t>Otázka DPH v projektech TAČR – Ing. Romana Sasková (</w:t>
      </w:r>
      <w:hyperlink r:id="rId10" w:history="1">
        <w:r w:rsidRPr="002A7ABA">
          <w:rPr>
            <w:rStyle w:val="Hypertextovodkaz"/>
            <w:rFonts w:cstheme="minorHAnsi"/>
            <w:b/>
          </w:rPr>
          <w:t>saskova@vutbr.cz</w:t>
        </w:r>
      </w:hyperlink>
      <w:r w:rsidRPr="002A7ABA">
        <w:rPr>
          <w:rFonts w:cstheme="minorHAnsi"/>
          <w:b/>
        </w:rPr>
        <w:t>, kl. 5356)</w:t>
      </w:r>
    </w:p>
    <w:p w14:paraId="5DB041B3" w14:textId="77777777" w:rsidR="005E71F4" w:rsidRDefault="005E71F4" w:rsidP="005E71F4">
      <w:pPr>
        <w:rPr>
          <w:b/>
        </w:rPr>
      </w:pPr>
      <w:r>
        <w:rPr>
          <w:b/>
        </w:rPr>
        <w:t xml:space="preserve">Zadání do APOLLA pod programem </w:t>
      </w:r>
      <w:r w:rsidRPr="00CF3509">
        <w:rPr>
          <w:b/>
        </w:rPr>
        <w:t xml:space="preserve">financování: </w:t>
      </w:r>
      <w:r w:rsidR="00CF3509" w:rsidRPr="00CF3509">
        <w:rPr>
          <w:b/>
        </w:rPr>
        <w:t>TM0</w:t>
      </w:r>
      <w:r w:rsidR="00C07767">
        <w:rPr>
          <w:b/>
        </w:rPr>
        <w:t>5</w:t>
      </w:r>
      <w:r w:rsidR="00CF3509" w:rsidRPr="00CF3509">
        <w:rPr>
          <w:b/>
        </w:rPr>
        <w:t>0</w:t>
      </w:r>
    </w:p>
    <w:p w14:paraId="4DD55EEC" w14:textId="77777777" w:rsidR="005E71F4" w:rsidRDefault="005E71F4" w:rsidP="0057770F">
      <w:pPr>
        <w:rPr>
          <w:b/>
        </w:rPr>
      </w:pPr>
    </w:p>
    <w:p w14:paraId="0DA756FC" w14:textId="77777777" w:rsidR="00C10D9F" w:rsidRPr="005E71F4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Odkaz na soutěž:</w:t>
      </w:r>
    </w:p>
    <w:p w14:paraId="67C0AD74" w14:textId="77777777" w:rsidR="00CF3509" w:rsidRDefault="001B01AC" w:rsidP="0057770F">
      <w:pPr>
        <w:rPr>
          <w:b/>
        </w:rPr>
      </w:pPr>
      <w:hyperlink r:id="rId11" w:history="1">
        <w:r w:rsidR="00C07767" w:rsidRPr="005A607A">
          <w:rPr>
            <w:rStyle w:val="Hypertextovodkaz"/>
            <w:b/>
          </w:rPr>
          <w:t>https://www.tacr.cz/soutez/program-delta-2/pata-verejna-soutez-5/</w:t>
        </w:r>
      </w:hyperlink>
      <w:r w:rsidR="00C07767">
        <w:rPr>
          <w:b/>
        </w:rPr>
        <w:t xml:space="preserve"> </w:t>
      </w:r>
    </w:p>
    <w:p w14:paraId="65CB25E9" w14:textId="77777777" w:rsidR="00CD05EF" w:rsidRDefault="00CD05EF" w:rsidP="0057770F">
      <w:pPr>
        <w:rPr>
          <w:b/>
          <w:color w:val="1F4E79" w:themeColor="accent1" w:themeShade="80"/>
          <w:sz w:val="28"/>
          <w:szCs w:val="28"/>
        </w:rPr>
      </w:pPr>
    </w:p>
    <w:p w14:paraId="3D7A55A1" w14:textId="77777777" w:rsidR="00CD05EF" w:rsidRPr="00CD05EF" w:rsidRDefault="00CD05EF" w:rsidP="0057770F">
      <w:pPr>
        <w:rPr>
          <w:b/>
          <w:color w:val="1F4E79" w:themeColor="accent1" w:themeShade="80"/>
          <w:sz w:val="28"/>
          <w:szCs w:val="28"/>
        </w:rPr>
      </w:pPr>
      <w:r w:rsidRPr="00CD05EF">
        <w:rPr>
          <w:b/>
          <w:color w:val="1F4E79" w:themeColor="accent1" w:themeShade="80"/>
          <w:sz w:val="28"/>
          <w:szCs w:val="28"/>
        </w:rPr>
        <w:t>Otázky a odpovědi týkající se soutěže</w:t>
      </w:r>
      <w:r>
        <w:rPr>
          <w:b/>
          <w:color w:val="1F4E79" w:themeColor="accent1" w:themeShade="80"/>
          <w:sz w:val="28"/>
          <w:szCs w:val="28"/>
        </w:rPr>
        <w:t xml:space="preserve"> na Helpdesku TAČR</w:t>
      </w:r>
      <w:r w:rsidRPr="00CD05EF">
        <w:rPr>
          <w:b/>
          <w:color w:val="1F4E79" w:themeColor="accent1" w:themeShade="80"/>
          <w:sz w:val="28"/>
          <w:szCs w:val="28"/>
        </w:rPr>
        <w:t>:</w:t>
      </w:r>
    </w:p>
    <w:p w14:paraId="1933D03E" w14:textId="77777777" w:rsidR="00CD05EF" w:rsidRDefault="001B01AC" w:rsidP="0057770F">
      <w:pPr>
        <w:rPr>
          <w:b/>
        </w:rPr>
      </w:pPr>
      <w:hyperlink r:id="rId12" w:history="1">
        <w:r w:rsidR="00CD05EF" w:rsidRPr="00870FC7">
          <w:rPr>
            <w:rStyle w:val="Hypertextovodkaz"/>
            <w:b/>
          </w:rPr>
          <w:t>https://helpdesk.tacr.cz/knowledgebase.php?category=249</w:t>
        </w:r>
      </w:hyperlink>
      <w:r w:rsidR="00CD05EF">
        <w:rPr>
          <w:b/>
        </w:rPr>
        <w:t xml:space="preserve"> </w:t>
      </w:r>
    </w:p>
    <w:p w14:paraId="73C88A53" w14:textId="77777777" w:rsidR="00C07767" w:rsidRDefault="00C07767" w:rsidP="0057770F">
      <w:pPr>
        <w:rPr>
          <w:b/>
        </w:rPr>
      </w:pPr>
    </w:p>
    <w:p w14:paraId="6F6F8E02" w14:textId="77777777"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Uchazeči:</w:t>
      </w:r>
    </w:p>
    <w:p w14:paraId="25A7C64F" w14:textId="77777777" w:rsidR="00CA7EB0" w:rsidRPr="001521AE" w:rsidRDefault="00CA7EB0" w:rsidP="00821503">
      <w:pPr>
        <w:rPr>
          <w:b/>
        </w:rPr>
      </w:pPr>
      <w:r w:rsidRPr="001521AE">
        <w:rPr>
          <w:b/>
        </w:rPr>
        <w:t xml:space="preserve">Hlavní uchazeč může: </w:t>
      </w:r>
    </w:p>
    <w:p w14:paraId="306F879D" w14:textId="77777777" w:rsidR="00CA7EB0" w:rsidRDefault="00CA7EB0" w:rsidP="001521AE">
      <w:pPr>
        <w:pStyle w:val="Odstavecseseznamem"/>
        <w:numPr>
          <w:ilvl w:val="0"/>
          <w:numId w:val="29"/>
        </w:numPr>
      </w:pPr>
      <w:r>
        <w:t xml:space="preserve">být pouze podnik, který má sídlo, provozovnu nebo pobočku v České republice; </w:t>
      </w:r>
    </w:p>
    <w:p w14:paraId="41B24D61" w14:textId="77777777" w:rsidR="00CA7EB0" w:rsidRDefault="00CA7EB0" w:rsidP="001521AE">
      <w:pPr>
        <w:pStyle w:val="Odstavecseseznamem"/>
        <w:numPr>
          <w:ilvl w:val="0"/>
          <w:numId w:val="29"/>
        </w:numPr>
      </w:pPr>
      <w:r>
        <w:lastRenderedPageBreak/>
        <w:t xml:space="preserve">projekt řešit samostatně nebo ve spolupráci s dalšími účastníky; </w:t>
      </w:r>
    </w:p>
    <w:p w14:paraId="704F56AE" w14:textId="77777777" w:rsidR="00CA7EB0" w:rsidRDefault="00CA7EB0" w:rsidP="001521AE">
      <w:pPr>
        <w:pStyle w:val="Odstavecseseznamem"/>
        <w:numPr>
          <w:ilvl w:val="0"/>
          <w:numId w:val="29"/>
        </w:numPr>
      </w:pPr>
      <w:r>
        <w:t xml:space="preserve">podat neomezený počet návrhů projektů (aby mohl být návrh projektu podpořen, je nutné splnit podmínky stanovené v kapitole 3.4 Vymezení se vůči vlastním obdobným projektům). </w:t>
      </w:r>
    </w:p>
    <w:p w14:paraId="2EBD4640" w14:textId="77777777" w:rsidR="00CA7EB0" w:rsidRDefault="00CA7EB0" w:rsidP="00821503">
      <w:r>
        <w:t xml:space="preserve">Další účastník může být subjekt se sídlem v členském státě Evropské unie (včetně České republiky), v jiném státě tvořícím Evropský hospodářský prostor nebo ve Švýcarské konfederaci. </w:t>
      </w:r>
    </w:p>
    <w:p w14:paraId="2E3CD49A" w14:textId="77777777" w:rsidR="00CA7EB0" w:rsidRDefault="00CA7EB0" w:rsidP="00821503">
      <w:r w:rsidRPr="001521AE">
        <w:rPr>
          <w:b/>
        </w:rPr>
        <w:t>Každý uchazeč (hlavní uchazeč, další účastníci)</w:t>
      </w:r>
      <w:r>
        <w:t xml:space="preserve"> musí pro určení maximální intenzity podpory zvolit jeden z následujících typů uchazeče: </w:t>
      </w:r>
    </w:p>
    <w:p w14:paraId="6EB4D921" w14:textId="77777777" w:rsidR="00CA7EB0" w:rsidRDefault="00CA7EB0" w:rsidP="001521AE">
      <w:pPr>
        <w:pStyle w:val="Odstavecseseznamem"/>
        <w:numPr>
          <w:ilvl w:val="0"/>
          <w:numId w:val="29"/>
        </w:numPr>
      </w:pPr>
      <w:r>
        <w:t xml:space="preserve">výzkumná organizace; </w:t>
      </w:r>
    </w:p>
    <w:p w14:paraId="2AFAC83E" w14:textId="77777777" w:rsidR="00CA7EB0" w:rsidRDefault="00CA7EB0" w:rsidP="001521AE">
      <w:pPr>
        <w:pStyle w:val="Odstavecseseznamem"/>
        <w:numPr>
          <w:ilvl w:val="0"/>
          <w:numId w:val="29"/>
        </w:numPr>
      </w:pPr>
      <w:r>
        <w:t xml:space="preserve">podnik – malý, střední, velký. </w:t>
      </w:r>
    </w:p>
    <w:p w14:paraId="71E0B2BC" w14:textId="77777777" w:rsidR="00297EA0" w:rsidRDefault="00297EA0" w:rsidP="00297EA0">
      <w:pPr>
        <w:pStyle w:val="Odstavecseseznamem"/>
      </w:pPr>
    </w:p>
    <w:p w14:paraId="5435C9AF" w14:textId="77777777" w:rsidR="00297EA0" w:rsidRPr="00297EA0" w:rsidRDefault="00297EA0" w:rsidP="00297EA0">
      <w:r w:rsidRPr="00297EA0">
        <w:rPr>
          <w:b/>
        </w:rPr>
        <w:t>V případě účasti dalšího účastníka ze zahraniční</w:t>
      </w:r>
      <w:r w:rsidRPr="00297EA0">
        <w:t xml:space="preserve"> (nejedná se o zahraničního partnera)</w:t>
      </w:r>
      <w:r>
        <w:t xml:space="preserve"> musí být doloženo</w:t>
      </w:r>
      <w:r w:rsidRPr="00297EA0">
        <w:t>:</w:t>
      </w:r>
    </w:p>
    <w:p w14:paraId="2E87344A" w14:textId="77777777" w:rsidR="00297EA0" w:rsidRPr="00297EA0" w:rsidRDefault="00297EA0" w:rsidP="00297EA0">
      <w:pPr>
        <w:pStyle w:val="Odstavecseseznamem"/>
        <w:numPr>
          <w:ilvl w:val="0"/>
          <w:numId w:val="29"/>
        </w:numPr>
      </w:pPr>
      <w:r w:rsidRPr="00297EA0">
        <w:t>údaje o skutečném majiteli zahraničního uchazeče (více v kapitole 5.2 zadávací dokumentace);</w:t>
      </w:r>
    </w:p>
    <w:p w14:paraId="13EDBC13" w14:textId="77777777" w:rsidR="00297EA0" w:rsidRPr="00297EA0" w:rsidRDefault="00297EA0" w:rsidP="00821503">
      <w:pPr>
        <w:pStyle w:val="Odstavecseseznamem"/>
        <w:numPr>
          <w:ilvl w:val="0"/>
          <w:numId w:val="29"/>
        </w:numPr>
      </w:pPr>
      <w:r w:rsidRPr="00297EA0">
        <w:t>čestné prohlášení dalšího zahraničního účastníka, které bude obsahovat finanční položky potřebné k výpočtu podniku v obtížích za roky 2019, 2020, 2021 (více v kapitole 5.2 zadávací dokumentace).</w:t>
      </w:r>
    </w:p>
    <w:p w14:paraId="2254D96E" w14:textId="77777777" w:rsidR="00297EA0" w:rsidRDefault="00297EA0" w:rsidP="00821503">
      <w:pPr>
        <w:rPr>
          <w:b/>
        </w:rPr>
      </w:pPr>
    </w:p>
    <w:p w14:paraId="2C26111A" w14:textId="77777777" w:rsidR="00CA7EB0" w:rsidRPr="001521AE" w:rsidRDefault="00CA7EB0" w:rsidP="00821503">
      <w:pPr>
        <w:rPr>
          <w:b/>
        </w:rPr>
      </w:pPr>
      <w:r w:rsidRPr="001521AE">
        <w:rPr>
          <w:b/>
        </w:rPr>
        <w:t xml:space="preserve">Zahraniční partner: </w:t>
      </w:r>
    </w:p>
    <w:p w14:paraId="4B6AD881" w14:textId="77777777" w:rsidR="001B5539" w:rsidRDefault="00CA7EB0" w:rsidP="001521AE">
      <w:pPr>
        <w:pStyle w:val="Odstavecseseznamem"/>
        <w:numPr>
          <w:ilvl w:val="0"/>
          <w:numId w:val="29"/>
        </w:numPr>
      </w:pPr>
      <w:r>
        <w:t>musí být alespoň jeden zahraniční partner z podpořených lokalit</w:t>
      </w:r>
      <w:r w:rsidR="004B6861">
        <w:t xml:space="preserve"> v rámci výzvy DELTA2 (viz kapitola níže)</w:t>
      </w:r>
      <w:r w:rsidR="001B5539">
        <w:t>.</w:t>
      </w:r>
    </w:p>
    <w:p w14:paraId="5D00A055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>není dalším účastníkem</w:t>
      </w:r>
    </w:p>
    <w:p w14:paraId="7C13C40D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>může být k českému uchazeči ve vztahu partnerského nebo propojeného podniku ve smyslu přílohy č. I Nařízení pouze v případě, že to povoluje zahraniční partnerská organizace</w:t>
      </w:r>
    </w:p>
    <w:p w14:paraId="1D552B7F" w14:textId="77777777" w:rsidR="001B5539" w:rsidRDefault="001B5539" w:rsidP="00821503">
      <w:pPr>
        <w:rPr>
          <w:b/>
          <w:color w:val="1F4E79" w:themeColor="accent1" w:themeShade="80"/>
          <w:sz w:val="28"/>
          <w:szCs w:val="28"/>
        </w:rPr>
      </w:pPr>
    </w:p>
    <w:p w14:paraId="67727BE1" w14:textId="77777777" w:rsidR="00821503" w:rsidRPr="00821503" w:rsidRDefault="0000405A" w:rsidP="00821503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Zahraniční partner:</w:t>
      </w:r>
    </w:p>
    <w:p w14:paraId="2E07514A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 xml:space="preserve">Korejská republika Korea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Technology </w:t>
      </w:r>
      <w:proofErr w:type="spellStart"/>
      <w:r>
        <w:t>Evaluation</w:t>
      </w:r>
      <w:proofErr w:type="spellEnd"/>
      <w:r>
        <w:t xml:space="preserve"> and </w:t>
      </w:r>
      <w:proofErr w:type="spellStart"/>
      <w:proofErr w:type="gramStart"/>
      <w:r>
        <w:t>Planning</w:t>
      </w:r>
      <w:proofErr w:type="spellEnd"/>
      <w:r>
        <w:t xml:space="preserve"> - KETEP</w:t>
      </w:r>
      <w:proofErr w:type="gramEnd"/>
      <w:r>
        <w:t xml:space="preserve"> </w:t>
      </w:r>
    </w:p>
    <w:p w14:paraId="69C64298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 xml:space="preserve">Sasko, Spolková republika Německo </w:t>
      </w:r>
      <w:proofErr w:type="spellStart"/>
      <w:r>
        <w:t>Saxon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Ministry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Affairs</w:t>
      </w:r>
      <w:proofErr w:type="spellEnd"/>
      <w:r>
        <w:t xml:space="preserve">, </w:t>
      </w:r>
      <w:proofErr w:type="spellStart"/>
      <w:r>
        <w:t>Labour</w:t>
      </w:r>
      <w:proofErr w:type="spellEnd"/>
      <w:r>
        <w:t xml:space="preserve"> and </w:t>
      </w:r>
      <w:proofErr w:type="gramStart"/>
      <w:r>
        <w:t>Transport - SMWA</w:t>
      </w:r>
      <w:proofErr w:type="gramEnd"/>
      <w:r>
        <w:t xml:space="preserve"> </w:t>
      </w:r>
    </w:p>
    <w:p w14:paraId="75F5C2B1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 xml:space="preserve">Spojené státy americké 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gramStart"/>
      <w:r>
        <w:t>America - DOE</w:t>
      </w:r>
      <w:proofErr w:type="gramEnd"/>
      <w:r>
        <w:t xml:space="preserve"> </w:t>
      </w:r>
    </w:p>
    <w:p w14:paraId="703AFBB4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 xml:space="preserve">Stát Izrael </w:t>
      </w:r>
      <w:proofErr w:type="spellStart"/>
      <w:r>
        <w:t>Israel</w:t>
      </w:r>
      <w:proofErr w:type="spellEnd"/>
      <w:r>
        <w:t xml:space="preserve"> Innovation </w:t>
      </w:r>
      <w:proofErr w:type="spellStart"/>
      <w:proofErr w:type="gramStart"/>
      <w:r>
        <w:t>Authority</w:t>
      </w:r>
      <w:proofErr w:type="spellEnd"/>
      <w:r>
        <w:t xml:space="preserve"> - IIA</w:t>
      </w:r>
      <w:proofErr w:type="gramEnd"/>
      <w:r>
        <w:t xml:space="preserve"> </w:t>
      </w:r>
    </w:p>
    <w:p w14:paraId="21D72EE4" w14:textId="77777777" w:rsidR="001521AE" w:rsidRDefault="001521AE" w:rsidP="001521AE">
      <w:pPr>
        <w:pStyle w:val="Odstavecseseznamem"/>
        <w:numPr>
          <w:ilvl w:val="0"/>
          <w:numId w:val="29"/>
        </w:numPr>
      </w:pPr>
      <w:r>
        <w:t xml:space="preserve">Tchaj-wan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proofErr w:type="gramStart"/>
      <w:r>
        <w:t>Affairs</w:t>
      </w:r>
      <w:proofErr w:type="spellEnd"/>
      <w:r>
        <w:t xml:space="preserve"> - </w:t>
      </w:r>
      <w:proofErr w:type="spellStart"/>
      <w:r>
        <w:t>MoEA</w:t>
      </w:r>
      <w:proofErr w:type="spellEnd"/>
      <w:proofErr w:type="gramEnd"/>
      <w:r>
        <w:t xml:space="preserve"> </w:t>
      </w:r>
    </w:p>
    <w:p w14:paraId="572E961A" w14:textId="77777777" w:rsidR="00F3107A" w:rsidRPr="00F3107A" w:rsidRDefault="001521AE" w:rsidP="001521AE">
      <w:pPr>
        <w:pStyle w:val="Odstavecseseznamem"/>
        <w:numPr>
          <w:ilvl w:val="0"/>
          <w:numId w:val="29"/>
        </w:numPr>
      </w:pPr>
      <w:r>
        <w:t xml:space="preserve">Tchaj-wan </w:t>
      </w:r>
      <w:proofErr w:type="spellStart"/>
      <w:r>
        <w:t>National</w:t>
      </w:r>
      <w:proofErr w:type="spellEnd"/>
      <w:r>
        <w:t xml:space="preserve"> Science and Technology </w:t>
      </w:r>
      <w:proofErr w:type="spellStart"/>
      <w:proofErr w:type="gramStart"/>
      <w:r>
        <w:t>Council</w:t>
      </w:r>
      <w:proofErr w:type="spellEnd"/>
      <w:r>
        <w:t xml:space="preserve"> - NSTC</w:t>
      </w:r>
      <w:proofErr w:type="gramEnd"/>
    </w:p>
    <w:p w14:paraId="314142E8" w14:textId="77777777" w:rsidR="001521AE" w:rsidRDefault="001521AE" w:rsidP="00AF3498">
      <w:pPr>
        <w:rPr>
          <w:b/>
          <w:color w:val="1F4E79" w:themeColor="accent1" w:themeShade="80"/>
          <w:sz w:val="28"/>
          <w:szCs w:val="28"/>
        </w:rPr>
      </w:pPr>
    </w:p>
    <w:p w14:paraId="2FB0817E" w14:textId="77777777" w:rsidR="00AF3498" w:rsidRPr="00DD097B" w:rsidRDefault="00AF3498" w:rsidP="00AF3498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Zaměření soutěže:</w:t>
      </w:r>
    </w:p>
    <w:p w14:paraId="216495FE" w14:textId="77777777" w:rsidR="001521AE" w:rsidRDefault="001521AE" w:rsidP="007E344D">
      <w:r>
        <w:t xml:space="preserve">Veřejná soutěž je zaměřena na podporu mezinárodní spolupráce v oblasti aplikovaného výzkumu prostřednictvím společných projektů českých subjektů podporovaných TA ČR a zahraničních partnerů s předpokládanou podporou zahraničních institucí (dále „zahraniční organizace”). Jejím hlavním cílem </w:t>
      </w:r>
      <w:r>
        <w:lastRenderedPageBreak/>
        <w:t xml:space="preserve">je zvýšit množství výstupů a výsledků v oblastech, které jsou perspektivní pro budoucnost zapojených zemí. </w:t>
      </w:r>
    </w:p>
    <w:p w14:paraId="2ADAF53C" w14:textId="77777777" w:rsidR="009D7493" w:rsidRDefault="001521AE" w:rsidP="007E344D">
      <w:pPr>
        <w:rPr>
          <w:b/>
          <w:color w:val="1F4E79" w:themeColor="accent1" w:themeShade="80"/>
          <w:sz w:val="28"/>
          <w:szCs w:val="28"/>
        </w:rPr>
      </w:pPr>
      <w:r>
        <w:t>Cílem veřejné soutěže je rovněž podpora přenosu mezinárodních znalostí, sdílení dobré praxe a usnadnění pronikání na zahraniční trhy.</w:t>
      </w:r>
    </w:p>
    <w:p w14:paraId="2CFECEF9" w14:textId="77777777" w:rsidR="001521AE" w:rsidRPr="00CD05EF" w:rsidRDefault="001521AE" w:rsidP="007E344D">
      <w:pPr>
        <w:rPr>
          <w:b/>
          <w:color w:val="1F4E79" w:themeColor="accent1" w:themeShade="80"/>
          <w:sz w:val="24"/>
          <w:szCs w:val="28"/>
        </w:rPr>
      </w:pPr>
    </w:p>
    <w:p w14:paraId="4656E792" w14:textId="77777777" w:rsidR="007E344D" w:rsidRPr="008F2375" w:rsidRDefault="007E344D" w:rsidP="007E344D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Očekávané výsledky: alespoň jeden z následujících výsledků</w:t>
      </w:r>
    </w:p>
    <w:p w14:paraId="0EFE9FF6" w14:textId="77777777" w:rsidR="00BC71EE" w:rsidRDefault="00BC71EE" w:rsidP="00BC71EE">
      <w:pPr>
        <w:pStyle w:val="Odstavecseseznamem"/>
      </w:pPr>
      <w:proofErr w:type="spellStart"/>
      <w:r>
        <w:t>Fprum</w:t>
      </w:r>
      <w:proofErr w:type="spellEnd"/>
      <w:r>
        <w:t xml:space="preserve"> – průmyslový vzor;</w:t>
      </w:r>
    </w:p>
    <w:p w14:paraId="594B64A0" w14:textId="77777777" w:rsidR="00BC71EE" w:rsidRDefault="00BC71EE" w:rsidP="00BC71EE">
      <w:pPr>
        <w:pStyle w:val="Odstavecseseznamem"/>
      </w:pPr>
      <w:proofErr w:type="spellStart"/>
      <w:r>
        <w:t>Fuzit</w:t>
      </w:r>
      <w:proofErr w:type="spellEnd"/>
      <w:r>
        <w:t xml:space="preserve"> – užitný vzor;</w:t>
      </w:r>
    </w:p>
    <w:p w14:paraId="3C603A2C" w14:textId="77777777" w:rsidR="00BC71EE" w:rsidRDefault="00BC71EE" w:rsidP="00BC71EE">
      <w:pPr>
        <w:pStyle w:val="Odstavecseseznamem"/>
      </w:pPr>
      <w:proofErr w:type="spellStart"/>
      <w:r>
        <w:t>Gprot</w:t>
      </w:r>
      <w:proofErr w:type="spellEnd"/>
      <w:r>
        <w:t xml:space="preserve"> – prototyp;</w:t>
      </w:r>
    </w:p>
    <w:p w14:paraId="52A480FA" w14:textId="77777777" w:rsidR="00BC71EE" w:rsidRDefault="00BC71EE" w:rsidP="00BC71EE">
      <w:pPr>
        <w:pStyle w:val="Odstavecseseznamem"/>
      </w:pPr>
      <w:proofErr w:type="spellStart"/>
      <w:r>
        <w:t>Gfunk</w:t>
      </w:r>
      <w:proofErr w:type="spellEnd"/>
      <w:r>
        <w:t xml:space="preserve"> – funkční vzorek;</w:t>
      </w:r>
    </w:p>
    <w:p w14:paraId="0BF4CC3E" w14:textId="77777777" w:rsidR="00BC71EE" w:rsidRDefault="00BC71EE" w:rsidP="00BC71EE">
      <w:pPr>
        <w:pStyle w:val="Odstavecseseznamem"/>
      </w:pPr>
      <w:proofErr w:type="spellStart"/>
      <w:r>
        <w:t>Nlec</w:t>
      </w:r>
      <w:proofErr w:type="spellEnd"/>
      <w:r>
        <w:t xml:space="preserve"> – léčebný postup;</w:t>
      </w:r>
    </w:p>
    <w:p w14:paraId="494C1CB2" w14:textId="77777777" w:rsidR="00BC71EE" w:rsidRDefault="00BC71EE" w:rsidP="00BC71EE">
      <w:pPr>
        <w:pStyle w:val="Odstavecseseznamem"/>
      </w:pPr>
      <w:proofErr w:type="spellStart"/>
      <w:r>
        <w:t>Npam</w:t>
      </w:r>
      <w:proofErr w:type="spellEnd"/>
      <w:r>
        <w:t xml:space="preserve"> – památkový postup;</w:t>
      </w:r>
    </w:p>
    <w:p w14:paraId="07F5BF05" w14:textId="77777777" w:rsidR="00BC71EE" w:rsidRDefault="00BC71EE" w:rsidP="00BC71EE">
      <w:pPr>
        <w:pStyle w:val="Odstavecseseznamem"/>
      </w:pPr>
      <w:proofErr w:type="spellStart"/>
      <w:r>
        <w:t>Nmap</w:t>
      </w:r>
      <w:proofErr w:type="spellEnd"/>
      <w:r>
        <w:t xml:space="preserve"> – specializovaná mapa s odborným obsahem;</w:t>
      </w:r>
    </w:p>
    <w:p w14:paraId="79ADDAEF" w14:textId="77777777" w:rsidR="003F6BD9" w:rsidRDefault="003F6BD9" w:rsidP="003F6BD9">
      <w:pPr>
        <w:pStyle w:val="Odstavecseseznamem"/>
      </w:pPr>
      <w:proofErr w:type="spellStart"/>
      <w:r>
        <w:t>NmetS</w:t>
      </w:r>
      <w:proofErr w:type="spellEnd"/>
      <w:r>
        <w:t xml:space="preserve"> – metodika schválená příslušným orgánem státní správy, do jehož kompetence daná problematika spadá – </w:t>
      </w:r>
      <w:r w:rsidRPr="00297EA0">
        <w:rPr>
          <w:b/>
          <w:color w:val="FF0000"/>
        </w:rPr>
        <w:t xml:space="preserve">povinnou přílohou je Formulář pro druh výsledku </w:t>
      </w:r>
      <w:proofErr w:type="spellStart"/>
      <w:r w:rsidRPr="00297EA0">
        <w:rPr>
          <w:b/>
          <w:color w:val="FF0000"/>
        </w:rPr>
        <w:t>Nmet</w:t>
      </w:r>
      <w:proofErr w:type="spellEnd"/>
      <w:r w:rsidRPr="00297EA0">
        <w:rPr>
          <w:color w:val="FF0000"/>
        </w:rPr>
        <w:t>;</w:t>
      </w:r>
    </w:p>
    <w:p w14:paraId="1DB504E7" w14:textId="77777777" w:rsidR="005918A0" w:rsidRDefault="005918A0" w:rsidP="005918A0">
      <w:pPr>
        <w:pStyle w:val="Odstavecseseznamem"/>
      </w:pPr>
      <w:proofErr w:type="spellStart"/>
      <w:r>
        <w:t>NmetC</w:t>
      </w:r>
      <w:proofErr w:type="spellEnd"/>
      <w:r>
        <w:t xml:space="preserve"> – metodika certifikovaná oprávněným orgánem</w:t>
      </w:r>
      <w:r w:rsidR="00297EA0">
        <w:t xml:space="preserve"> </w:t>
      </w:r>
      <w:r w:rsidR="00297EA0" w:rsidRPr="00297EA0">
        <w:rPr>
          <w:b/>
        </w:rPr>
        <w:t xml:space="preserve">– </w:t>
      </w:r>
      <w:r w:rsidR="00297EA0" w:rsidRPr="00297EA0">
        <w:rPr>
          <w:b/>
          <w:color w:val="FF0000"/>
        </w:rPr>
        <w:t xml:space="preserve">povinnou přílohou je Formulář pro druh výsledku </w:t>
      </w:r>
      <w:proofErr w:type="spellStart"/>
      <w:r w:rsidR="00297EA0" w:rsidRPr="00297EA0">
        <w:rPr>
          <w:b/>
          <w:color w:val="FF0000"/>
        </w:rPr>
        <w:t>Nmet</w:t>
      </w:r>
      <w:proofErr w:type="spellEnd"/>
      <w:r w:rsidR="00297EA0" w:rsidRPr="00297EA0">
        <w:rPr>
          <w:b/>
          <w:color w:val="FF0000"/>
        </w:rPr>
        <w:t>;</w:t>
      </w:r>
    </w:p>
    <w:p w14:paraId="4489D1FB" w14:textId="77777777" w:rsidR="00965FD7" w:rsidRPr="00297EA0" w:rsidRDefault="005918A0" w:rsidP="005918A0">
      <w:pPr>
        <w:pStyle w:val="Odstavecseseznamem"/>
        <w:rPr>
          <w:b/>
        </w:rPr>
      </w:pPr>
      <w:proofErr w:type="spellStart"/>
      <w:r>
        <w:t>NmetA</w:t>
      </w:r>
      <w:proofErr w:type="spellEnd"/>
      <w:r>
        <w:t xml:space="preserve"> – metodika a postupy akreditované oprávněným orgánem</w:t>
      </w:r>
      <w:r w:rsidR="00297EA0">
        <w:t xml:space="preserve"> </w:t>
      </w:r>
      <w:r w:rsidR="00297EA0" w:rsidRPr="00297EA0">
        <w:rPr>
          <w:b/>
        </w:rPr>
        <w:t xml:space="preserve">– </w:t>
      </w:r>
      <w:r w:rsidR="00297EA0" w:rsidRPr="00297EA0">
        <w:rPr>
          <w:b/>
          <w:color w:val="FF0000"/>
        </w:rPr>
        <w:t xml:space="preserve">povinnou přílohou je Formulář pro druh výsledku </w:t>
      </w:r>
      <w:proofErr w:type="spellStart"/>
      <w:r w:rsidR="00297EA0" w:rsidRPr="00297EA0">
        <w:rPr>
          <w:b/>
          <w:color w:val="FF0000"/>
        </w:rPr>
        <w:t>Nmet</w:t>
      </w:r>
      <w:proofErr w:type="spellEnd"/>
      <w:r w:rsidR="00297EA0" w:rsidRPr="00297EA0">
        <w:rPr>
          <w:b/>
          <w:color w:val="FF0000"/>
        </w:rPr>
        <w:t>;</w:t>
      </w:r>
    </w:p>
    <w:p w14:paraId="76496FA2" w14:textId="77777777" w:rsidR="003F6BD9" w:rsidRDefault="003F6BD9" w:rsidP="003F6BD9">
      <w:pPr>
        <w:pStyle w:val="Odstavecseseznamem"/>
      </w:pPr>
      <w:r>
        <w:t xml:space="preserve">P – patent – </w:t>
      </w:r>
      <w:r w:rsidRPr="00297EA0">
        <w:rPr>
          <w:b/>
          <w:color w:val="FF0000"/>
        </w:rPr>
        <w:t>povinnou přílohou je patentová rešerše</w:t>
      </w:r>
      <w:r>
        <w:t>;</w:t>
      </w:r>
    </w:p>
    <w:p w14:paraId="7A4C97CE" w14:textId="77777777" w:rsidR="003F6BD9" w:rsidRDefault="003F6BD9" w:rsidP="003F6BD9">
      <w:pPr>
        <w:pStyle w:val="Odstavecseseznamem"/>
      </w:pPr>
      <w:r>
        <w:t>R – software;</w:t>
      </w:r>
    </w:p>
    <w:p w14:paraId="6768A0B6" w14:textId="77777777" w:rsidR="003F6BD9" w:rsidRDefault="003F6BD9" w:rsidP="003F6BD9">
      <w:pPr>
        <w:pStyle w:val="Odstavecseseznamem"/>
      </w:pPr>
      <w:r>
        <w:t>S – specializovaná veřejná databáze;</w:t>
      </w:r>
    </w:p>
    <w:p w14:paraId="33EA4F18" w14:textId="77777777" w:rsidR="005918A0" w:rsidRDefault="005918A0" w:rsidP="003F6BD9">
      <w:pPr>
        <w:pStyle w:val="Odstavecseseznamem"/>
      </w:pPr>
      <w:r>
        <w:t>O – ostatní výsledky;</w:t>
      </w:r>
    </w:p>
    <w:p w14:paraId="3EE9118D" w14:textId="77777777" w:rsidR="003F6BD9" w:rsidRDefault="003F6BD9" w:rsidP="003F6BD9">
      <w:pPr>
        <w:pStyle w:val="Odstavecseseznamem"/>
      </w:pPr>
      <w:proofErr w:type="spellStart"/>
      <w:r>
        <w:t>Zpolop</w:t>
      </w:r>
      <w:proofErr w:type="spellEnd"/>
      <w:r>
        <w:t xml:space="preserve"> – poloprovoz;</w:t>
      </w:r>
    </w:p>
    <w:p w14:paraId="0E533328" w14:textId="77777777" w:rsidR="003F6BD9" w:rsidRDefault="003F6BD9" w:rsidP="003F6BD9">
      <w:pPr>
        <w:pStyle w:val="Odstavecseseznamem"/>
      </w:pPr>
      <w:proofErr w:type="spellStart"/>
      <w:r>
        <w:t>Ztech</w:t>
      </w:r>
      <w:proofErr w:type="spellEnd"/>
      <w:r>
        <w:t xml:space="preserve"> – ověřená technologie;</w:t>
      </w:r>
    </w:p>
    <w:p w14:paraId="28DE2C59" w14:textId="77777777" w:rsidR="0057770F" w:rsidRDefault="0057770F" w:rsidP="0057770F"/>
    <w:p w14:paraId="6E580941" w14:textId="77777777" w:rsidR="0057770F" w:rsidRPr="00DD097B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Základní finanční údaje</w:t>
      </w:r>
    </w:p>
    <w:p w14:paraId="4267E1EC" w14:textId="77777777" w:rsidR="00DD0423" w:rsidRDefault="00DD0423" w:rsidP="007C2781">
      <w:pPr>
        <w:spacing w:line="100" w:lineRule="atLeast"/>
      </w:pPr>
      <w:r>
        <w:t xml:space="preserve">Předpokládaná alokace soutěže: </w:t>
      </w:r>
      <w:r w:rsidR="001521AE">
        <w:rPr>
          <w:b/>
        </w:rPr>
        <w:t>160</w:t>
      </w:r>
      <w:r w:rsidRPr="00DD0423">
        <w:rPr>
          <w:b/>
        </w:rPr>
        <w:t xml:space="preserve"> mil. Kč</w:t>
      </w:r>
    </w:p>
    <w:p w14:paraId="2652F660" w14:textId="77777777" w:rsidR="0057770F" w:rsidRPr="005E71F4" w:rsidRDefault="0057770F" w:rsidP="007C2781">
      <w:pPr>
        <w:spacing w:line="100" w:lineRule="atLeast"/>
        <w:rPr>
          <w:b/>
        </w:rPr>
      </w:pPr>
      <w:r w:rsidRPr="005E71F4">
        <w:t xml:space="preserve">Maximální částka podpory na jeden projekt </w:t>
      </w:r>
      <w:r w:rsidR="001521AE">
        <w:t>–</w:t>
      </w:r>
      <w:r w:rsidR="001521AE">
        <w:rPr>
          <w:b/>
        </w:rPr>
        <w:t xml:space="preserve"> 16 mil. Kč</w:t>
      </w:r>
    </w:p>
    <w:p w14:paraId="57C279F8" w14:textId="77777777" w:rsidR="0057770F" w:rsidRPr="00C06A2F" w:rsidRDefault="0057770F" w:rsidP="007C2781">
      <w:pPr>
        <w:spacing w:line="100" w:lineRule="atLeast"/>
        <w:rPr>
          <w:b/>
        </w:rPr>
      </w:pPr>
      <w:r w:rsidRPr="00C06A2F">
        <w:rPr>
          <w:b/>
        </w:rPr>
        <w:t>Maximální intenzita podpory na projekt</w:t>
      </w:r>
      <w:r w:rsidR="00D66035" w:rsidRPr="00C06A2F">
        <w:rPr>
          <w:b/>
        </w:rPr>
        <w:t xml:space="preserve"> - </w:t>
      </w:r>
      <w:r w:rsidR="00DA38BF" w:rsidRPr="00C06A2F">
        <w:rPr>
          <w:b/>
        </w:rPr>
        <w:t>74</w:t>
      </w:r>
      <w:r w:rsidRPr="00C06A2F">
        <w:rPr>
          <w:b/>
        </w:rPr>
        <w:t xml:space="preserve"> %</w:t>
      </w:r>
    </w:p>
    <w:p w14:paraId="5ACE08AB" w14:textId="77777777" w:rsidR="003F6BD9" w:rsidRPr="005E71F4" w:rsidRDefault="008A661B" w:rsidP="007C2781">
      <w:pPr>
        <w:spacing w:line="100" w:lineRule="atLeast"/>
        <w:rPr>
          <w:b/>
        </w:rPr>
      </w:pPr>
      <w:r w:rsidRPr="008A661B">
        <w:t xml:space="preserve">Kurz USD podle ČNB ke </w:t>
      </w:r>
      <w:r w:rsidRPr="00C06A2F">
        <w:rPr>
          <w:b/>
        </w:rPr>
        <w:t>dni 1</w:t>
      </w:r>
      <w:r w:rsidR="001521AE" w:rsidRPr="00C06A2F">
        <w:rPr>
          <w:b/>
        </w:rPr>
        <w:t>7</w:t>
      </w:r>
      <w:r w:rsidRPr="00C06A2F">
        <w:rPr>
          <w:b/>
        </w:rPr>
        <w:t>. 5. 202</w:t>
      </w:r>
      <w:r w:rsidR="001521AE" w:rsidRPr="00C06A2F">
        <w:rPr>
          <w:b/>
        </w:rPr>
        <w:t>3</w:t>
      </w:r>
      <w:r w:rsidRPr="008A661B">
        <w:t xml:space="preserve"> </w:t>
      </w:r>
      <w:r>
        <w:t xml:space="preserve">je stanoven na </w:t>
      </w:r>
      <w:r w:rsidRPr="008A661B">
        <w:rPr>
          <w:b/>
        </w:rPr>
        <w:t>2</w:t>
      </w:r>
      <w:r w:rsidR="001521AE">
        <w:rPr>
          <w:b/>
        </w:rPr>
        <w:t>1</w:t>
      </w:r>
      <w:r w:rsidRPr="008A661B">
        <w:rPr>
          <w:b/>
        </w:rPr>
        <w:t>,</w:t>
      </w:r>
      <w:r w:rsidR="001521AE">
        <w:rPr>
          <w:b/>
        </w:rPr>
        <w:t>826</w:t>
      </w:r>
      <w:r w:rsidRPr="008A661B">
        <w:rPr>
          <w:b/>
        </w:rPr>
        <w:t xml:space="preserve"> CZK</w:t>
      </w:r>
    </w:p>
    <w:p w14:paraId="2D2F5F57" w14:textId="77777777" w:rsidR="00D66035" w:rsidRDefault="00D66035" w:rsidP="007C2781">
      <w:pPr>
        <w:spacing w:line="100" w:lineRule="atLeast"/>
        <w:rPr>
          <w:b/>
        </w:rPr>
      </w:pPr>
      <w:r w:rsidRPr="005E71F4">
        <w:rPr>
          <w:b/>
        </w:rPr>
        <w:t>Maximální intenzita podpory pro výzkumnou organizaci - 100%</w:t>
      </w:r>
    </w:p>
    <w:p w14:paraId="0D695092" w14:textId="77777777" w:rsidR="00894BEB" w:rsidRDefault="00894BEB" w:rsidP="0057770F">
      <w:pPr>
        <w:rPr>
          <w:b/>
        </w:rPr>
      </w:pPr>
    </w:p>
    <w:p w14:paraId="1C449ADA" w14:textId="77777777" w:rsidR="005E71F4" w:rsidRPr="00DD097B" w:rsidRDefault="00FE3CFC" w:rsidP="00DD097B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 xml:space="preserve">Způsobilé náklady: </w:t>
      </w:r>
    </w:p>
    <w:p w14:paraId="0EF55E50" w14:textId="77777777" w:rsidR="00FE3CFC" w:rsidRPr="001521AE" w:rsidRDefault="00FE3CFC" w:rsidP="001521AE">
      <w:pPr>
        <w:pStyle w:val="Odstavecseseznamem"/>
        <w:numPr>
          <w:ilvl w:val="0"/>
          <w:numId w:val="29"/>
        </w:numPr>
        <w:spacing w:line="100" w:lineRule="atLeast"/>
      </w:pPr>
      <w:r w:rsidRPr="001521AE">
        <w:t xml:space="preserve">osobní náklady; </w:t>
      </w:r>
    </w:p>
    <w:p w14:paraId="762FD09E" w14:textId="77777777" w:rsidR="00FE3CFC" w:rsidRPr="001521AE" w:rsidRDefault="00FE3CFC" w:rsidP="001521AE">
      <w:pPr>
        <w:pStyle w:val="Odstavecseseznamem"/>
        <w:numPr>
          <w:ilvl w:val="0"/>
          <w:numId w:val="29"/>
        </w:numPr>
        <w:spacing w:line="100" w:lineRule="atLeast"/>
      </w:pPr>
      <w:r w:rsidRPr="001521AE">
        <w:t>náklady na subdodávky</w:t>
      </w:r>
      <w:r w:rsidR="003F6BD9" w:rsidRPr="001521AE">
        <w:t xml:space="preserve"> (do </w:t>
      </w:r>
      <w:proofErr w:type="gramStart"/>
      <w:r w:rsidR="003F6BD9" w:rsidRPr="001521AE">
        <w:t>20%</w:t>
      </w:r>
      <w:proofErr w:type="gramEnd"/>
      <w:r w:rsidR="003F6BD9" w:rsidRPr="001521AE">
        <w:t>)</w:t>
      </w:r>
      <w:r w:rsidRPr="001521AE">
        <w:t xml:space="preserve">; </w:t>
      </w:r>
    </w:p>
    <w:p w14:paraId="23632806" w14:textId="77777777" w:rsidR="00FE3CFC" w:rsidRPr="001521AE" w:rsidRDefault="00FE3CFC" w:rsidP="001521AE">
      <w:pPr>
        <w:pStyle w:val="Odstavecseseznamem"/>
        <w:numPr>
          <w:ilvl w:val="0"/>
          <w:numId w:val="29"/>
        </w:numPr>
        <w:spacing w:line="100" w:lineRule="atLeast"/>
      </w:pPr>
      <w:r w:rsidRPr="001521AE">
        <w:t xml:space="preserve">ostatní přímé náklady; </w:t>
      </w:r>
    </w:p>
    <w:p w14:paraId="2E0333F0" w14:textId="77777777" w:rsidR="00FE3CFC" w:rsidRPr="001521AE" w:rsidRDefault="00FE3CFC" w:rsidP="001521AE">
      <w:pPr>
        <w:pStyle w:val="Odstavecseseznamem"/>
        <w:numPr>
          <w:ilvl w:val="0"/>
          <w:numId w:val="29"/>
        </w:numPr>
        <w:spacing w:line="100" w:lineRule="atLeast"/>
      </w:pPr>
      <w:r w:rsidRPr="001521AE">
        <w:t>nepřímé náklady</w:t>
      </w:r>
      <w:r w:rsidR="006300BB" w:rsidRPr="001521AE">
        <w:t xml:space="preserve"> (Full </w:t>
      </w:r>
      <w:proofErr w:type="spellStart"/>
      <w:r w:rsidR="006300BB" w:rsidRPr="001521AE">
        <w:t>cost</w:t>
      </w:r>
      <w:proofErr w:type="spellEnd"/>
      <w:r w:rsidR="006300BB" w:rsidRPr="001521AE">
        <w:t xml:space="preserve"> nebo </w:t>
      </w:r>
      <w:proofErr w:type="spellStart"/>
      <w:r w:rsidR="006300BB" w:rsidRPr="001521AE">
        <w:t>Flate</w:t>
      </w:r>
      <w:proofErr w:type="spellEnd"/>
      <w:r w:rsidR="006300BB" w:rsidRPr="001521AE">
        <w:t xml:space="preserve"> </w:t>
      </w:r>
      <w:proofErr w:type="spellStart"/>
      <w:r w:rsidR="006300BB" w:rsidRPr="001521AE">
        <w:t>rate</w:t>
      </w:r>
      <w:proofErr w:type="spellEnd"/>
      <w:r w:rsidR="006300BB" w:rsidRPr="001521AE">
        <w:t xml:space="preserve"> do </w:t>
      </w:r>
      <w:proofErr w:type="gramStart"/>
      <w:r w:rsidR="006300BB" w:rsidRPr="001521AE">
        <w:t>25%</w:t>
      </w:r>
      <w:proofErr w:type="gramEnd"/>
      <w:r w:rsidR="006300BB" w:rsidRPr="001521AE">
        <w:t>)</w:t>
      </w:r>
      <w:r w:rsidRPr="001521AE">
        <w:t xml:space="preserve">. </w:t>
      </w:r>
    </w:p>
    <w:p w14:paraId="4BEC5C26" w14:textId="77777777" w:rsidR="00FE3CFC" w:rsidRDefault="00FE3CFC" w:rsidP="0057770F">
      <w:pPr>
        <w:rPr>
          <w:b/>
        </w:rPr>
      </w:pPr>
    </w:p>
    <w:p w14:paraId="4597EF1A" w14:textId="77777777"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lastRenderedPageBreak/>
        <w:t>Způsob podání návrhů projektů:</w:t>
      </w:r>
    </w:p>
    <w:p w14:paraId="70BC955B" w14:textId="77777777" w:rsidR="00894BEB" w:rsidRDefault="00894BEB" w:rsidP="0057770F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13" w:history="1">
        <w:r w:rsidRPr="00AE0779">
          <w:rPr>
            <w:rStyle w:val="Hypertextovodkaz"/>
            <w:b/>
          </w:rPr>
          <w:t>https://ista.tacr.cz/ISTA/action/Login/?actionId=26177460554028970&amp;step=0&amp;ts=1560349268592&amp;hash=PIPB5ah8Cwz2I7whWtNq7A==&amp;nbl=true</w:t>
        </w:r>
      </w:hyperlink>
    </w:p>
    <w:p w14:paraId="0DBAA6E4" w14:textId="77777777" w:rsidR="00894BEB" w:rsidRDefault="00894BEB" w:rsidP="0057770F">
      <w:pPr>
        <w:rPr>
          <w:b/>
        </w:rPr>
      </w:pPr>
    </w:p>
    <w:p w14:paraId="4CA142C8" w14:textId="77777777"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Požadavky na způsobilost:</w:t>
      </w:r>
    </w:p>
    <w:p w14:paraId="618BD735" w14:textId="77777777" w:rsidR="00C4569A" w:rsidRDefault="00894BEB" w:rsidP="0057770F">
      <w:pPr>
        <w:rPr>
          <w:b/>
        </w:rPr>
      </w:pPr>
      <w:r w:rsidRPr="00294F2E">
        <w:rPr>
          <w:b/>
        </w:rPr>
        <w:t>Čestné prohlášení za uchazeče</w:t>
      </w:r>
      <w:r w:rsidR="003F6BD9">
        <w:rPr>
          <w:b/>
        </w:rPr>
        <w:t xml:space="preserve"> VUT</w:t>
      </w:r>
      <w:r w:rsidRPr="00294F2E">
        <w:rPr>
          <w:b/>
        </w:rPr>
        <w:t xml:space="preserve"> – bude zajištěno rektorátem prostřednictvím datové schránky centrálně za všechny projekty ve lhůtě stanovené poskytovatelem.</w:t>
      </w:r>
      <w:r w:rsidR="007E344D">
        <w:rPr>
          <w:b/>
        </w:rPr>
        <w:t xml:space="preserve"> (Každý uchazeč musí poslat své ČP ze své datové schránky</w:t>
      </w:r>
      <w:r w:rsidR="00C4569A">
        <w:rPr>
          <w:b/>
        </w:rPr>
        <w:t xml:space="preserve">). Při zaslání ČP musí být v datovém poli Věc: uvedeno </w:t>
      </w:r>
      <w:r w:rsidR="00C4569A" w:rsidRPr="00C4569A">
        <w:rPr>
          <w:b/>
        </w:rPr>
        <w:t>„</w:t>
      </w:r>
      <w:r w:rsidR="00A54DA9">
        <w:rPr>
          <w:b/>
        </w:rPr>
        <w:t>5.</w:t>
      </w:r>
      <w:r w:rsidR="006802F4">
        <w:rPr>
          <w:b/>
        </w:rPr>
        <w:t xml:space="preserve"> </w:t>
      </w:r>
      <w:r w:rsidR="00A54DA9">
        <w:rPr>
          <w:b/>
        </w:rPr>
        <w:t xml:space="preserve">veřejná soutěž </w:t>
      </w:r>
      <w:r w:rsidR="003F6BD9">
        <w:rPr>
          <w:b/>
        </w:rPr>
        <w:t>D</w:t>
      </w:r>
      <w:r w:rsidR="005918A0">
        <w:rPr>
          <w:b/>
        </w:rPr>
        <w:t xml:space="preserve">ELTA </w:t>
      </w:r>
      <w:r w:rsidR="003F6BD9">
        <w:rPr>
          <w:b/>
        </w:rPr>
        <w:t>2</w:t>
      </w:r>
      <w:r w:rsidR="00C4569A" w:rsidRPr="00C4569A">
        <w:rPr>
          <w:b/>
        </w:rPr>
        <w:t xml:space="preserve"> – Prokázání způsobilosti“.</w:t>
      </w:r>
    </w:p>
    <w:p w14:paraId="4CCC0351" w14:textId="77777777" w:rsidR="00AD0BCF" w:rsidRDefault="00AD0BCF" w:rsidP="0057770F">
      <w:pPr>
        <w:rPr>
          <w:b/>
        </w:rPr>
      </w:pPr>
      <w:r>
        <w:rPr>
          <w:b/>
        </w:rPr>
        <w:t>VUT splňuje povinnost zveřejnit účetní závěrku tím, že vydává výroční zprávu o hospodaření.</w:t>
      </w:r>
    </w:p>
    <w:p w14:paraId="49A805F4" w14:textId="77777777" w:rsidR="00894BEB" w:rsidRDefault="00AD0BCF" w:rsidP="0057770F">
      <w:pPr>
        <w:rPr>
          <w:b/>
        </w:rPr>
      </w:pPr>
      <w:r>
        <w:rPr>
          <w:b/>
        </w:rPr>
        <w:t xml:space="preserve">Zahraniční uchazeč posílá ČP v listinné podobě, pokud nemá datovou schránku. V tomto případě musí podepsat ČP </w:t>
      </w:r>
      <w:proofErr w:type="spellStart"/>
      <w:r>
        <w:rPr>
          <w:b/>
        </w:rPr>
        <w:t>stat</w:t>
      </w:r>
      <w:proofErr w:type="spellEnd"/>
      <w:r>
        <w:rPr>
          <w:b/>
        </w:rPr>
        <w:t>. zástupce a musí to být originál.</w:t>
      </w:r>
      <w:r w:rsidR="00E6364E">
        <w:rPr>
          <w:b/>
        </w:rPr>
        <w:t xml:space="preserve"> </w:t>
      </w:r>
      <w:r w:rsidR="00E6364E">
        <w:t>Zahraniční další účastník typu podnik musí doložit do příloh návrhu projektu dokument ve formě čestného prohlášení, který bude obsahovat finanční položky potřebné k výpočtu podniku v obtížích za roky 2019, 2020 a 2021. Konkrétně musí dokument obsahovat tyto údaje: základní kapitál, emisní ážio, ostatní kapitálové fondy, fondy ze zisku, výsledek hospodaření minulých let, výsledek hospodaření a výše zálohové výplaty podílu na zisku. Dokument musí být podepsán osobou oprávněnou jednat jménem dalšího účastníka. Zahraniční další účastník doloží do příloh návrhu projektu údaje o svém skutečném majiteli.</w:t>
      </w:r>
    </w:p>
    <w:p w14:paraId="4DF93F13" w14:textId="77777777" w:rsidR="00894BEB" w:rsidRPr="006802F4" w:rsidRDefault="00C4109A" w:rsidP="0057770F">
      <w:pPr>
        <w:rPr>
          <w:b/>
        </w:rPr>
      </w:pPr>
      <w:r w:rsidRPr="00297EA0">
        <w:rPr>
          <w:b/>
          <w:color w:val="FF0000"/>
        </w:rPr>
        <w:t>Pro hlavní uchazeče spolupracující se zahraničními partnery z</w:t>
      </w:r>
      <w:r w:rsidR="006802F4" w:rsidRPr="00297EA0">
        <w:rPr>
          <w:b/>
          <w:color w:val="FF0000"/>
        </w:rPr>
        <w:t xml:space="preserve"> </w:t>
      </w:r>
      <w:r w:rsidRPr="00297EA0">
        <w:rPr>
          <w:b/>
          <w:color w:val="FF0000"/>
        </w:rPr>
        <w:t>Korejské republiky (zahraniční organizace KIAT a KETEP) platí následující doplňková podmínka</w:t>
      </w:r>
      <w:r w:rsidR="006802F4" w:rsidRPr="00297EA0">
        <w:rPr>
          <w:b/>
          <w:color w:val="FF0000"/>
        </w:rPr>
        <w:t xml:space="preserve"> - </w:t>
      </w:r>
      <w:r w:rsidRPr="00297EA0">
        <w:rPr>
          <w:color w:val="FF0000"/>
        </w:rPr>
        <w:t xml:space="preserve">Hlavní uchazeč dokládá spolu s </w:t>
      </w:r>
      <w:r w:rsidRPr="00297EA0">
        <w:rPr>
          <w:b/>
          <w:color w:val="FF0000"/>
        </w:rPr>
        <w:t>Čestným prohlášením za uchazeče</w:t>
      </w:r>
      <w:r w:rsidRPr="00297EA0">
        <w:rPr>
          <w:color w:val="FF0000"/>
        </w:rPr>
        <w:t xml:space="preserve"> také </w:t>
      </w:r>
      <w:r w:rsidRPr="00297EA0">
        <w:rPr>
          <w:b/>
          <w:color w:val="FF0000"/>
        </w:rPr>
        <w:t>Čestné prohlášení o složení konsorcia</w:t>
      </w:r>
      <w:r>
        <w:t>, kde prohlašuje, že buď není se zahraničním partnerem ve vztahu, který odpovídá vztahu partnerského či propojeného podniku a nebo pokud tato situace nastane, že ověřil, že jedním z dalších účastníků návrhu projektu je podnik, který nenaplňuje definici partnerského či propojeného podniku ve vztahu k zahraničnímu partnerovi.</w:t>
      </w:r>
      <w:r w:rsidR="005918A0" w:rsidRPr="005918A0">
        <w:rPr>
          <w:rFonts w:ascii="Calibri" w:hAnsi="Calibri" w:cs="Calibri"/>
          <w:color w:val="000000"/>
        </w:rPr>
        <w:t xml:space="preserve"> </w:t>
      </w:r>
    </w:p>
    <w:p w14:paraId="6DF5A925" w14:textId="77777777" w:rsidR="00DE497C" w:rsidRPr="00E6364E" w:rsidRDefault="00C4109A" w:rsidP="0057770F">
      <w:pPr>
        <w:rPr>
          <w:rFonts w:ascii="Calibri" w:hAnsi="Calibri" w:cs="Calibri"/>
        </w:rPr>
      </w:pPr>
      <w:r w:rsidRPr="006802F4">
        <w:t xml:space="preserve">Dále uchazeči musí být </w:t>
      </w:r>
      <w:r w:rsidRPr="006802F4">
        <w:rPr>
          <w:b/>
        </w:rPr>
        <w:t>zapsaní v evidenci skutečných majitelů</w:t>
      </w:r>
      <w:r w:rsidRPr="006802F4">
        <w:t xml:space="preserve">. Pokud uchazeč není zapsán v evidenci skutečných majitelů do termínu konce soutěžní lhůty, tedy </w:t>
      </w:r>
      <w:r w:rsidRPr="006802F4">
        <w:rPr>
          <w:b/>
        </w:rPr>
        <w:t>do 1</w:t>
      </w:r>
      <w:r w:rsidR="006802F4" w:rsidRPr="006802F4">
        <w:rPr>
          <w:b/>
        </w:rPr>
        <w:t>9</w:t>
      </w:r>
      <w:r w:rsidRPr="006802F4">
        <w:rPr>
          <w:b/>
        </w:rPr>
        <w:t>. 7. 202</w:t>
      </w:r>
      <w:r w:rsidR="006802F4" w:rsidRPr="006802F4">
        <w:rPr>
          <w:b/>
        </w:rPr>
        <w:t>3</w:t>
      </w:r>
      <w:r w:rsidRPr="006802F4">
        <w:t>, nepřijme TA ČR návrh projektu do veřejné soutěže.</w:t>
      </w:r>
    </w:p>
    <w:p w14:paraId="0466EA34" w14:textId="77777777" w:rsidR="006A2EFC" w:rsidRPr="00DE497C" w:rsidRDefault="006A2EFC" w:rsidP="0057770F">
      <w:pPr>
        <w:rPr>
          <w:rFonts w:ascii="Calibri" w:hAnsi="Calibri" w:cs="Calibri"/>
          <w:color w:val="000000"/>
        </w:rPr>
      </w:pPr>
    </w:p>
    <w:p w14:paraId="7B3386CF" w14:textId="77777777" w:rsidR="00894BEB" w:rsidRPr="00AD0BCF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Návrh projektu:</w:t>
      </w:r>
    </w:p>
    <w:p w14:paraId="02C79CB4" w14:textId="77777777" w:rsidR="007E344D" w:rsidRPr="00297EA0" w:rsidRDefault="006802F4" w:rsidP="0057770F">
      <w:pPr>
        <w:rPr>
          <w:b/>
          <w:color w:val="FF0000"/>
        </w:rPr>
      </w:pPr>
      <w:r w:rsidRPr="00297EA0">
        <w:rPr>
          <w:b/>
          <w:color w:val="FF0000"/>
        </w:rPr>
        <w:t xml:space="preserve">Návrh projektu se předkládá v angličtině prostřednictvím ISTA. </w:t>
      </w:r>
    </w:p>
    <w:p w14:paraId="3ED34F47" w14:textId="77777777" w:rsidR="006802F4" w:rsidRPr="006802F4" w:rsidRDefault="006802F4" w:rsidP="0057770F">
      <w:r>
        <w:t xml:space="preserve">V následujících bodech jsou uvedeny klíčové informace a podmínky pro účast v 5. veřejné soutěži programu DELTA 2: </w:t>
      </w:r>
    </w:p>
    <w:p w14:paraId="4B951EE0" w14:textId="77777777" w:rsidR="007E344D" w:rsidRDefault="007E344D" w:rsidP="0057770F">
      <w:pPr>
        <w:rPr>
          <w:b/>
        </w:rPr>
      </w:pPr>
      <w:r>
        <w:rPr>
          <w:b/>
        </w:rPr>
        <w:t>Důležité předpoklady dokladované prostřednictvím ISTA:</w:t>
      </w:r>
    </w:p>
    <w:p w14:paraId="32CE5E2E" w14:textId="77777777" w:rsidR="00A86736" w:rsidRPr="00A86736" w:rsidRDefault="00A86736" w:rsidP="00A86736">
      <w:pPr>
        <w:pStyle w:val="Odstavecseseznamem"/>
        <w:numPr>
          <w:ilvl w:val="0"/>
          <w:numId w:val="24"/>
        </w:numPr>
      </w:pPr>
      <w:r w:rsidRPr="00A86736">
        <w:t>odborné předpoklady k řešení projektu – vyplňují se u klíčových osob řešitelského týmu v části “Odborný životopis”. Každý hlavní uchazeč musí mít v návrhu projektu alespoň jednu osobu v roli řešitel a každý případný další účastník musí mít alespoň jednu osobu v roli další řešitel;</w:t>
      </w:r>
    </w:p>
    <w:p w14:paraId="31FFC648" w14:textId="77777777" w:rsidR="00A86736" w:rsidRPr="00A86736" w:rsidRDefault="00A86736" w:rsidP="00A86736">
      <w:pPr>
        <w:pStyle w:val="Odstavecseseznamem"/>
        <w:numPr>
          <w:ilvl w:val="0"/>
          <w:numId w:val="24"/>
        </w:numPr>
      </w:pPr>
      <w:r w:rsidRPr="00A86736">
        <w:lastRenderedPageBreak/>
        <w:t>oprávnění k činnosti relevantní k plánovaným činnostem v návrhu projektu – do návrhu projektu se vkládá kopie (např. oprávnění k provádění biologického zkoušení, povolení výzkumu na lidských embryonálních kmenových buňkách);</w:t>
      </w:r>
    </w:p>
    <w:p w14:paraId="3C667B25" w14:textId="77777777" w:rsidR="007E344D" w:rsidRDefault="00A86736" w:rsidP="00A86736">
      <w:pPr>
        <w:pStyle w:val="Odstavecseseznamem"/>
        <w:numPr>
          <w:ilvl w:val="0"/>
          <w:numId w:val="24"/>
        </w:numPr>
      </w:pPr>
      <w:r w:rsidRPr="00A86736">
        <w:t>vlastnická struktura za každého uchazeče – každý uchazeč musí uvést všechny koncové fyzické osoby, které mají podíl minimálně 10 % (pokud z právní formy uchazeče vyplývá, že nemá vlastnickou strukturu, tato povinnost se na něj nevztahuje).</w:t>
      </w:r>
    </w:p>
    <w:p w14:paraId="428EFCC1" w14:textId="77777777" w:rsidR="00E6364E" w:rsidRPr="003206E0" w:rsidRDefault="00E6364E" w:rsidP="00E6364E">
      <w:pPr>
        <w:pStyle w:val="Odstavecseseznamem"/>
      </w:pPr>
    </w:p>
    <w:p w14:paraId="02834871" w14:textId="77777777" w:rsidR="003206E0" w:rsidRPr="00BE6CDC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BE6CDC">
        <w:rPr>
          <w:b/>
          <w:color w:val="1F4E79" w:themeColor="accent1" w:themeShade="80"/>
          <w:sz w:val="28"/>
          <w:szCs w:val="28"/>
        </w:rPr>
        <w:t>Povinné přílohy:</w:t>
      </w:r>
    </w:p>
    <w:p w14:paraId="017EBFBE" w14:textId="77777777" w:rsidR="006802F4" w:rsidRDefault="00A86736" w:rsidP="00A86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A86736">
        <w:rPr>
          <w:rFonts w:ascii="Calibri" w:hAnsi="Calibri" w:cs="Calibri"/>
          <w:color w:val="000000"/>
        </w:rPr>
        <w:t xml:space="preserve">Uchazeči přikládají do návrhu projektu povinnou přílohu </w:t>
      </w:r>
      <w:proofErr w:type="spellStart"/>
      <w:r w:rsidRPr="00A86736">
        <w:rPr>
          <w:rFonts w:ascii="Calibri" w:hAnsi="Calibri" w:cs="Calibri"/>
          <w:b/>
          <w:bCs/>
          <w:color w:val="000000"/>
        </w:rPr>
        <w:t>Common</w:t>
      </w:r>
      <w:proofErr w:type="spellEnd"/>
      <w:r w:rsidRPr="00A86736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Pr="00A86736">
        <w:rPr>
          <w:rFonts w:ascii="Calibri" w:hAnsi="Calibri" w:cs="Calibri"/>
          <w:b/>
          <w:bCs/>
          <w:color w:val="000000"/>
        </w:rPr>
        <w:t>proposal</w:t>
      </w:r>
      <w:proofErr w:type="spellEnd"/>
      <w:r w:rsidRPr="00A86736">
        <w:rPr>
          <w:rFonts w:ascii="Calibri" w:hAnsi="Calibri" w:cs="Calibri"/>
          <w:b/>
          <w:bCs/>
          <w:color w:val="000000"/>
        </w:rPr>
        <w:t xml:space="preserve"> </w:t>
      </w:r>
      <w:r w:rsidRPr="00A86736">
        <w:rPr>
          <w:rFonts w:ascii="Calibri" w:hAnsi="Calibri" w:cs="Calibri"/>
          <w:color w:val="000000"/>
        </w:rPr>
        <w:t>(tedy společný návrh projektu)</w:t>
      </w:r>
      <w:r w:rsidR="006802F4">
        <w:rPr>
          <w:rFonts w:ascii="Calibri" w:hAnsi="Calibri" w:cs="Calibri"/>
          <w:color w:val="000000"/>
        </w:rPr>
        <w:t xml:space="preserve"> a povinnou přílohu </w:t>
      </w:r>
      <w:r w:rsidR="006802F4" w:rsidRPr="006802F4">
        <w:rPr>
          <w:rFonts w:ascii="Calibri" w:hAnsi="Calibri" w:cs="Calibri"/>
          <w:b/>
          <w:color w:val="000000"/>
        </w:rPr>
        <w:t>Průzkum trhu.</w:t>
      </w:r>
    </w:p>
    <w:p w14:paraId="768E8156" w14:textId="77777777" w:rsidR="006802F4" w:rsidRDefault="006802F4" w:rsidP="00A86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04C29C" w14:textId="77777777" w:rsidR="00A86736" w:rsidRPr="006802F4" w:rsidRDefault="006802F4" w:rsidP="00A867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proofErr w:type="spellStart"/>
      <w:r w:rsidRPr="006802F4">
        <w:rPr>
          <w:rFonts w:ascii="Calibri" w:hAnsi="Calibri" w:cs="Calibri"/>
          <w:b/>
          <w:color w:val="000000"/>
        </w:rPr>
        <w:t>Common</w:t>
      </w:r>
      <w:proofErr w:type="spellEnd"/>
      <w:r w:rsidRPr="006802F4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6802F4">
        <w:rPr>
          <w:rFonts w:ascii="Calibri" w:hAnsi="Calibri" w:cs="Calibri"/>
          <w:b/>
          <w:color w:val="000000"/>
        </w:rPr>
        <w:t>proposal</w:t>
      </w:r>
      <w:proofErr w:type="spellEnd"/>
      <w:r w:rsidR="00A86736" w:rsidRPr="006802F4">
        <w:rPr>
          <w:rFonts w:ascii="Calibri" w:hAnsi="Calibri" w:cs="Calibri"/>
          <w:b/>
          <w:color w:val="000000"/>
        </w:rPr>
        <w:t xml:space="preserve"> má následující náležitosti: </w:t>
      </w:r>
    </w:p>
    <w:p w14:paraId="55AAC9F0" w14:textId="77777777" w:rsidR="006802F4" w:rsidRDefault="006802F4" w:rsidP="006802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>
        <w:t xml:space="preserve">Jedná se o formulář, který podává hlavní uchazeč TA ČR a zahraniční partner příslušné zahraniční organizaci. </w:t>
      </w:r>
    </w:p>
    <w:p w14:paraId="1411F247" w14:textId="77777777" w:rsidR="006802F4" w:rsidRDefault="006802F4" w:rsidP="006802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>
        <w:t>Jedná se o potvrzení závazku zahraničního partnera/zahraničních partnerů účastnit se řešení projektu a shrnutí základních informací o části návrhu projektu řešené zahraničním partnerem/zahraničními partnery, včetně předpokládaného financování zahraniční části projektu (ať formou podpory od zahraniční organizace či jiným způsobem).</w:t>
      </w:r>
    </w:p>
    <w:p w14:paraId="0F884B76" w14:textId="77777777" w:rsidR="006802F4" w:rsidRDefault="006802F4" w:rsidP="006802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>
        <w:t xml:space="preserve">Uchazeči vyplňují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dle podmínek příslušné zahraniční organizace (podle přílohy č. 1 zadávací dokumentace). </w:t>
      </w:r>
    </w:p>
    <w:p w14:paraId="7AC3B426" w14:textId="77777777" w:rsidR="006802F4" w:rsidRPr="00D273E2" w:rsidRDefault="006802F4" w:rsidP="006802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b/>
          <w:color w:val="FF0000"/>
        </w:rPr>
      </w:pPr>
      <w:proofErr w:type="spellStart"/>
      <w:r>
        <w:t>Common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r w:rsidRPr="00D273E2">
        <w:rPr>
          <w:b/>
          <w:color w:val="FF0000"/>
        </w:rPr>
        <w:t xml:space="preserve">musí být vyplněný v anglickém jazyce a podepsaný všemi statutárními zástupci na české i zahraniční straně. </w:t>
      </w:r>
    </w:p>
    <w:p w14:paraId="40E2FE2E" w14:textId="77777777" w:rsidR="006802F4" w:rsidRDefault="006802F4" w:rsidP="006802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>
        <w:t xml:space="preserve">Formulář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je uveden mezi dokumenty spojenými s vyhlášením 5. veřejné soutěže programu DELTA 2. </w:t>
      </w:r>
    </w:p>
    <w:p w14:paraId="5F3E0599" w14:textId="77777777" w:rsidR="00A86736" w:rsidRDefault="006802F4" w:rsidP="006802F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>
        <w:t>Tato povinná příloha může být dodatečně doložena na základě výzvy dle § 21 odst. 9 ZPVV.</w:t>
      </w:r>
    </w:p>
    <w:p w14:paraId="6969A515" w14:textId="77777777" w:rsidR="006802F4" w:rsidRPr="00A86736" w:rsidRDefault="006802F4" w:rsidP="00A86736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4EF030E" w14:textId="77777777" w:rsidR="006802F4" w:rsidRDefault="006802F4" w:rsidP="00A86736">
      <w:pPr>
        <w:rPr>
          <w:b/>
          <w:color w:val="FF0000"/>
        </w:rPr>
      </w:pPr>
      <w:r>
        <w:rPr>
          <w:b/>
          <w:color w:val="FF0000"/>
        </w:rPr>
        <w:t xml:space="preserve">Nově je </w:t>
      </w:r>
      <w:r w:rsidR="00297EA0">
        <w:rPr>
          <w:b/>
          <w:color w:val="FF0000"/>
        </w:rPr>
        <w:t xml:space="preserve">příloha </w:t>
      </w:r>
      <w:r>
        <w:rPr>
          <w:b/>
          <w:color w:val="FF0000"/>
        </w:rPr>
        <w:t>Průzkum trhu</w:t>
      </w:r>
      <w:r w:rsidR="00297EA0">
        <w:rPr>
          <w:b/>
          <w:color w:val="FF0000"/>
        </w:rPr>
        <w:t xml:space="preserve"> povinná</w:t>
      </w:r>
      <w:r>
        <w:rPr>
          <w:b/>
          <w:color w:val="FF0000"/>
        </w:rPr>
        <w:t>!</w:t>
      </w:r>
    </w:p>
    <w:p w14:paraId="3054DD32" w14:textId="77777777" w:rsidR="006802F4" w:rsidRPr="00F27496" w:rsidRDefault="006802F4" w:rsidP="00A86736">
      <w:r w:rsidRPr="00F27496">
        <w:rPr>
          <w:b/>
        </w:rPr>
        <w:t>Průzkum trhu, jehož cílem je popsat komerční potenciál, předpokládané ekonomické přínosy a uplatnitelnost výstupů/výsledků výzkumu na trhu, má následující náležitosti:</w:t>
      </w:r>
      <w:r w:rsidRPr="00F27496">
        <w:t xml:space="preserve"> </w:t>
      </w:r>
    </w:p>
    <w:p w14:paraId="42B687FA" w14:textId="77777777" w:rsidR="006802F4" w:rsidRPr="006802F4" w:rsidRDefault="006802F4" w:rsidP="006802F4">
      <w:pPr>
        <w:pStyle w:val="Odstavecseseznamem"/>
        <w:numPr>
          <w:ilvl w:val="0"/>
          <w:numId w:val="30"/>
        </w:numPr>
        <w:rPr>
          <w:b/>
        </w:rPr>
      </w:pPr>
      <w:r>
        <w:t xml:space="preserve">Životní cyklus v daném odvětví, velikost tržního podílu, stručnou charakteristiku konkurence (konkurenčních řešení) nebo určení segmentu a odhadnutí počtu potenciálních </w:t>
      </w:r>
      <w:proofErr w:type="gramStart"/>
      <w:r>
        <w:t>zákazníků.¨</w:t>
      </w:r>
      <w:proofErr w:type="gramEnd"/>
    </w:p>
    <w:p w14:paraId="6F8B603A" w14:textId="77777777" w:rsidR="006802F4" w:rsidRPr="006802F4" w:rsidRDefault="006802F4" w:rsidP="006802F4">
      <w:pPr>
        <w:pStyle w:val="Odstavecseseznamem"/>
        <w:numPr>
          <w:ilvl w:val="0"/>
          <w:numId w:val="30"/>
        </w:numPr>
        <w:rPr>
          <w:b/>
        </w:rPr>
      </w:pPr>
      <w:r>
        <w:t xml:space="preserve">Pokud je zjišťována poptávka formou dotazování, pak musí být jasně popsán i vzorek, na němž bylo šetření prováděno. Pokud je průzkum trhu prováděn na základě veřejně dostupných informací, musí být uvedené zdroje. </w:t>
      </w:r>
    </w:p>
    <w:p w14:paraId="50F78C2D" w14:textId="77777777" w:rsidR="006802F4" w:rsidRPr="006802F4" w:rsidRDefault="006802F4" w:rsidP="006802F4">
      <w:pPr>
        <w:pStyle w:val="Odstavecseseznamem"/>
        <w:numPr>
          <w:ilvl w:val="0"/>
          <w:numId w:val="30"/>
        </w:numPr>
        <w:rPr>
          <w:b/>
        </w:rPr>
      </w:pPr>
      <w:r>
        <w:t xml:space="preserve">Průzkum trhu musí být vyplněný v anglickém jazyce. </w:t>
      </w:r>
    </w:p>
    <w:p w14:paraId="43C984F9" w14:textId="77777777" w:rsidR="00BD011D" w:rsidRPr="006802F4" w:rsidRDefault="006802F4" w:rsidP="006802F4">
      <w:pPr>
        <w:pStyle w:val="Odstavecseseznamem"/>
        <w:numPr>
          <w:ilvl w:val="0"/>
          <w:numId w:val="30"/>
        </w:numPr>
        <w:rPr>
          <w:b/>
        </w:rPr>
      </w:pPr>
      <w:r>
        <w:t>Bez doložení průzkumu trhu nepřijme TA ČR návrh projektu do veřejné soutěže. Tato povinná příloha nemůže být dodatečně doložena na základě výzvy dle § 21 odst. 9 ZPVV.</w:t>
      </w:r>
    </w:p>
    <w:p w14:paraId="24FF0A24" w14:textId="77777777" w:rsidR="006802F4" w:rsidRDefault="006802F4" w:rsidP="006300BB">
      <w:pPr>
        <w:rPr>
          <w:b/>
          <w:color w:val="1F4E79" w:themeColor="accent1" w:themeShade="80"/>
          <w:sz w:val="28"/>
          <w:szCs w:val="28"/>
        </w:rPr>
      </w:pPr>
    </w:p>
    <w:p w14:paraId="6734DE11" w14:textId="77777777" w:rsidR="002C26C6" w:rsidRDefault="002C26C6" w:rsidP="006300BB">
      <w:r w:rsidRPr="00BD011D">
        <w:rPr>
          <w:b/>
          <w:color w:val="1F4E79" w:themeColor="accent1" w:themeShade="80"/>
          <w:sz w:val="28"/>
          <w:szCs w:val="28"/>
        </w:rPr>
        <w:t>Nepovinné přílohy</w:t>
      </w:r>
    </w:p>
    <w:p w14:paraId="72382DF4" w14:textId="77777777" w:rsidR="002C26C6" w:rsidRDefault="002C26C6" w:rsidP="006300BB">
      <w:r>
        <w:t xml:space="preserve">Uchazeči mohou do návrhu projektu přiložit tyto nepovinné přílohy: </w:t>
      </w:r>
    </w:p>
    <w:p w14:paraId="7047EC8A" w14:textId="77777777" w:rsidR="006802F4" w:rsidRDefault="002C26C6" w:rsidP="006802F4">
      <w:r w:rsidRPr="006802F4">
        <w:rPr>
          <w:b/>
        </w:rPr>
        <w:t xml:space="preserve">Formulář </w:t>
      </w:r>
      <w:proofErr w:type="spellStart"/>
      <w:r w:rsidRPr="006802F4">
        <w:rPr>
          <w:b/>
        </w:rPr>
        <w:t>Pre-existent</w:t>
      </w:r>
      <w:proofErr w:type="spellEnd"/>
      <w:r w:rsidRPr="006802F4">
        <w:rPr>
          <w:b/>
        </w:rPr>
        <w:t xml:space="preserve"> </w:t>
      </w:r>
      <w:proofErr w:type="spellStart"/>
      <w:r w:rsidRPr="006802F4">
        <w:rPr>
          <w:b/>
        </w:rPr>
        <w:t>knowledge</w:t>
      </w:r>
      <w:proofErr w:type="spellEnd"/>
      <w:r>
        <w:t xml:space="preserve"> (znalosti před zahájením projektu), který má následující náležitosti: </w:t>
      </w:r>
    </w:p>
    <w:p w14:paraId="124A5090" w14:textId="77777777" w:rsidR="006802F4" w:rsidRDefault="002C26C6" w:rsidP="002C26C6">
      <w:pPr>
        <w:pStyle w:val="Odstavecseseznamem"/>
        <w:numPr>
          <w:ilvl w:val="0"/>
          <w:numId w:val="28"/>
        </w:numPr>
      </w:pPr>
      <w:r>
        <w:lastRenderedPageBreak/>
        <w:t xml:space="preserve">definuje vstupy, kterými do projektu přispěli uchazeči, např. majetek, znalosti, </w:t>
      </w:r>
      <w:proofErr w:type="spellStart"/>
      <w:r>
        <w:t>knowhow</w:t>
      </w:r>
      <w:proofErr w:type="spellEnd"/>
      <w:r>
        <w:t xml:space="preserve">, což pomůže předcházet možným budoucím sporům; </w:t>
      </w:r>
    </w:p>
    <w:p w14:paraId="4801637A" w14:textId="77777777" w:rsidR="002C26C6" w:rsidRDefault="002C26C6" w:rsidP="002C26C6">
      <w:pPr>
        <w:pStyle w:val="Odstavecseseznamem"/>
        <w:numPr>
          <w:ilvl w:val="0"/>
          <w:numId w:val="28"/>
        </w:numPr>
      </w:pPr>
      <w:r>
        <w:t xml:space="preserve">jeho cílem je zajistit ochranu duševního vlastnictví vneseného do projektu. </w:t>
      </w:r>
    </w:p>
    <w:p w14:paraId="78521DE0" w14:textId="77777777" w:rsidR="006802F4" w:rsidRDefault="006802F4" w:rsidP="00A83AD7"/>
    <w:p w14:paraId="0151236C" w14:textId="77777777" w:rsidR="006300BB" w:rsidRDefault="00BE6CDC" w:rsidP="006300BB">
      <w:pPr>
        <w:rPr>
          <w:b/>
          <w:color w:val="1F4E79" w:themeColor="accent1" w:themeShade="80"/>
          <w:sz w:val="28"/>
          <w:szCs w:val="28"/>
        </w:rPr>
      </w:pPr>
      <w:r w:rsidRPr="00BE6CDC">
        <w:rPr>
          <w:b/>
          <w:color w:val="1F4E79" w:themeColor="accent1" w:themeShade="80"/>
          <w:sz w:val="28"/>
          <w:szCs w:val="28"/>
        </w:rPr>
        <w:t>Hodnocení návrhu</w:t>
      </w:r>
      <w:r>
        <w:rPr>
          <w:b/>
          <w:color w:val="1F4E79" w:themeColor="accent1" w:themeShade="80"/>
          <w:sz w:val="28"/>
          <w:szCs w:val="28"/>
        </w:rPr>
        <w:t>:</w:t>
      </w:r>
    </w:p>
    <w:p w14:paraId="20C8A241" w14:textId="77777777" w:rsidR="001D7DE3" w:rsidRDefault="00BE6CDC" w:rsidP="006300BB">
      <w:r w:rsidRPr="00BE6CDC">
        <w:t xml:space="preserve">Podrobné podmínky hodnocení návrhu projektu jsou uvedeny na stránkách </w:t>
      </w:r>
      <w:r w:rsidR="002C26C6">
        <w:t>1</w:t>
      </w:r>
      <w:r w:rsidR="000E06E8">
        <w:t>7</w:t>
      </w:r>
      <w:r w:rsidR="002C26C6">
        <w:t xml:space="preserve"> </w:t>
      </w:r>
      <w:r w:rsidR="000E06E8">
        <w:t>–</w:t>
      </w:r>
      <w:r w:rsidR="002C26C6">
        <w:t xml:space="preserve"> 1</w:t>
      </w:r>
      <w:r w:rsidR="000E06E8">
        <w:t xml:space="preserve">8 </w:t>
      </w:r>
      <w:hyperlink r:id="rId14" w:history="1">
        <w:r w:rsidR="000E06E8" w:rsidRPr="000E06E8">
          <w:rPr>
            <w:rStyle w:val="Hypertextovodkaz"/>
          </w:rPr>
          <w:t>Z</w:t>
        </w:r>
        <w:r w:rsidR="00DE497C" w:rsidRPr="000E06E8">
          <w:rPr>
            <w:rStyle w:val="Hypertextovodkaz"/>
          </w:rPr>
          <w:t>adávací dokumentace</w:t>
        </w:r>
      </w:hyperlink>
      <w:r w:rsidR="00DE497C">
        <w:t xml:space="preserve"> </w:t>
      </w:r>
      <w:r w:rsidRPr="00BE6CDC">
        <w:t xml:space="preserve">a dále jsou podrobně rozpracovány </w:t>
      </w:r>
      <w:r w:rsidR="002C26C6">
        <w:t>v </w:t>
      </w:r>
      <w:hyperlink r:id="rId15" w:history="1">
        <w:r w:rsidR="002C26C6" w:rsidRPr="000E06E8">
          <w:rPr>
            <w:rStyle w:val="Hypertextovodkaz"/>
          </w:rPr>
          <w:t>Příloze 2 - Hodnotící proces</w:t>
        </w:r>
      </w:hyperlink>
      <w:r w:rsidR="002C26C6">
        <w:t>.</w:t>
      </w:r>
    </w:p>
    <w:sectPr w:rsidR="001D7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507A"/>
    <w:multiLevelType w:val="hybridMultilevel"/>
    <w:tmpl w:val="3F2CCFE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35AB"/>
    <w:multiLevelType w:val="hybridMultilevel"/>
    <w:tmpl w:val="1D3E1D1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F67ED"/>
    <w:multiLevelType w:val="hybridMultilevel"/>
    <w:tmpl w:val="8F285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8E7"/>
    <w:multiLevelType w:val="hybridMultilevel"/>
    <w:tmpl w:val="AF5A853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F29F7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D0DD2"/>
    <w:multiLevelType w:val="hybridMultilevel"/>
    <w:tmpl w:val="CCC41D5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63AB"/>
    <w:multiLevelType w:val="hybridMultilevel"/>
    <w:tmpl w:val="A482981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0AF5"/>
    <w:multiLevelType w:val="hybridMultilevel"/>
    <w:tmpl w:val="F9B6493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E0FF5"/>
    <w:multiLevelType w:val="hybridMultilevel"/>
    <w:tmpl w:val="C554C10C"/>
    <w:lvl w:ilvl="0" w:tplc="51E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B2267"/>
    <w:multiLevelType w:val="hybridMultilevel"/>
    <w:tmpl w:val="AC886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0245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67948"/>
    <w:multiLevelType w:val="hybridMultilevel"/>
    <w:tmpl w:val="495CD98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2392C"/>
    <w:multiLevelType w:val="hybridMultilevel"/>
    <w:tmpl w:val="9FF4CB4E"/>
    <w:lvl w:ilvl="0" w:tplc="51EAF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93CF2"/>
    <w:multiLevelType w:val="multilevel"/>
    <w:tmpl w:val="ABB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87472"/>
    <w:multiLevelType w:val="hybridMultilevel"/>
    <w:tmpl w:val="FD0077E0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D156F"/>
    <w:multiLevelType w:val="hybridMultilevel"/>
    <w:tmpl w:val="0B643D0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B11AA1"/>
    <w:multiLevelType w:val="hybridMultilevel"/>
    <w:tmpl w:val="B0F2BFC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C4CDF"/>
    <w:multiLevelType w:val="hybridMultilevel"/>
    <w:tmpl w:val="B70E26F4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25E0E"/>
    <w:multiLevelType w:val="hybridMultilevel"/>
    <w:tmpl w:val="2FCE4EE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8"/>
  </w:num>
  <w:num w:numId="5">
    <w:abstractNumId w:val="13"/>
  </w:num>
  <w:num w:numId="6">
    <w:abstractNumId w:val="18"/>
  </w:num>
  <w:num w:numId="7">
    <w:abstractNumId w:val="28"/>
  </w:num>
  <w:num w:numId="8">
    <w:abstractNumId w:val="14"/>
  </w:num>
  <w:num w:numId="9">
    <w:abstractNumId w:val="21"/>
  </w:num>
  <w:num w:numId="10">
    <w:abstractNumId w:val="2"/>
  </w:num>
  <w:num w:numId="11">
    <w:abstractNumId w:val="26"/>
  </w:num>
  <w:num w:numId="12">
    <w:abstractNumId w:val="0"/>
  </w:num>
  <w:num w:numId="13">
    <w:abstractNumId w:val="30"/>
  </w:num>
  <w:num w:numId="14">
    <w:abstractNumId w:val="3"/>
  </w:num>
  <w:num w:numId="15">
    <w:abstractNumId w:val="15"/>
  </w:num>
  <w:num w:numId="16">
    <w:abstractNumId w:val="5"/>
  </w:num>
  <w:num w:numId="17">
    <w:abstractNumId w:val="25"/>
  </w:num>
  <w:num w:numId="18">
    <w:abstractNumId w:val="6"/>
  </w:num>
  <w:num w:numId="19">
    <w:abstractNumId w:val="27"/>
  </w:num>
  <w:num w:numId="20">
    <w:abstractNumId w:val="24"/>
  </w:num>
  <w:num w:numId="21">
    <w:abstractNumId w:val="7"/>
  </w:num>
  <w:num w:numId="22">
    <w:abstractNumId w:val="1"/>
  </w:num>
  <w:num w:numId="23">
    <w:abstractNumId w:val="16"/>
  </w:num>
  <w:num w:numId="24">
    <w:abstractNumId w:val="29"/>
  </w:num>
  <w:num w:numId="25">
    <w:abstractNumId w:val="10"/>
  </w:num>
  <w:num w:numId="26">
    <w:abstractNumId w:val="11"/>
  </w:num>
  <w:num w:numId="27">
    <w:abstractNumId w:val="22"/>
  </w:num>
  <w:num w:numId="28">
    <w:abstractNumId w:val="4"/>
  </w:num>
  <w:num w:numId="29">
    <w:abstractNumId w:val="19"/>
  </w:num>
  <w:num w:numId="30">
    <w:abstractNumId w:val="1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0F"/>
    <w:rsid w:val="0000405A"/>
    <w:rsid w:val="000E06E8"/>
    <w:rsid w:val="001521AE"/>
    <w:rsid w:val="001B01AC"/>
    <w:rsid w:val="001B5539"/>
    <w:rsid w:val="001D7DE3"/>
    <w:rsid w:val="002425FA"/>
    <w:rsid w:val="00294F2E"/>
    <w:rsid w:val="00297EA0"/>
    <w:rsid w:val="002C26C6"/>
    <w:rsid w:val="002D1982"/>
    <w:rsid w:val="003206E0"/>
    <w:rsid w:val="00364EAC"/>
    <w:rsid w:val="003F6BD9"/>
    <w:rsid w:val="00415583"/>
    <w:rsid w:val="004B6861"/>
    <w:rsid w:val="00522E05"/>
    <w:rsid w:val="00552D72"/>
    <w:rsid w:val="00563DF1"/>
    <w:rsid w:val="0057770F"/>
    <w:rsid w:val="005918A0"/>
    <w:rsid w:val="005E1E90"/>
    <w:rsid w:val="005E71F4"/>
    <w:rsid w:val="005F4E49"/>
    <w:rsid w:val="006300BB"/>
    <w:rsid w:val="006802F4"/>
    <w:rsid w:val="006A1261"/>
    <w:rsid w:val="006A2EFC"/>
    <w:rsid w:val="006A5CBC"/>
    <w:rsid w:val="007C2781"/>
    <w:rsid w:val="007E344D"/>
    <w:rsid w:val="00821503"/>
    <w:rsid w:val="00837080"/>
    <w:rsid w:val="00850853"/>
    <w:rsid w:val="00866992"/>
    <w:rsid w:val="00894BEB"/>
    <w:rsid w:val="008A661B"/>
    <w:rsid w:val="00965FD7"/>
    <w:rsid w:val="009D66C6"/>
    <w:rsid w:val="009D7493"/>
    <w:rsid w:val="00A37535"/>
    <w:rsid w:val="00A54DA9"/>
    <w:rsid w:val="00A83AD7"/>
    <w:rsid w:val="00A86736"/>
    <w:rsid w:val="00AD0BCF"/>
    <w:rsid w:val="00AF3498"/>
    <w:rsid w:val="00B82176"/>
    <w:rsid w:val="00BC71EE"/>
    <w:rsid w:val="00BD011D"/>
    <w:rsid w:val="00BE6CDC"/>
    <w:rsid w:val="00C06A2F"/>
    <w:rsid w:val="00C07767"/>
    <w:rsid w:val="00C10D9F"/>
    <w:rsid w:val="00C4109A"/>
    <w:rsid w:val="00C4569A"/>
    <w:rsid w:val="00CA7EB0"/>
    <w:rsid w:val="00CC39C8"/>
    <w:rsid w:val="00CD05EF"/>
    <w:rsid w:val="00CF3509"/>
    <w:rsid w:val="00D273E2"/>
    <w:rsid w:val="00D658FB"/>
    <w:rsid w:val="00D66035"/>
    <w:rsid w:val="00DA38BF"/>
    <w:rsid w:val="00DC372A"/>
    <w:rsid w:val="00DD0423"/>
    <w:rsid w:val="00DD097B"/>
    <w:rsid w:val="00DE497C"/>
    <w:rsid w:val="00E6364E"/>
    <w:rsid w:val="00EB3EF0"/>
    <w:rsid w:val="00EE5F2B"/>
    <w:rsid w:val="00F148C0"/>
    <w:rsid w:val="00F27496"/>
    <w:rsid w:val="00F3107A"/>
    <w:rsid w:val="00F90DCD"/>
    <w:rsid w:val="00F96793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CDD0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D7D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ondrouskova@vutbr.cz" TargetMode="External"/><Relationship Id="rId13" Type="http://schemas.openxmlformats.org/officeDocument/2006/relationships/hyperlink" Target="https://ista.tacr.cz/ISTA/action/Login/?actionId=26177460554028970&amp;step=0&amp;ts=1560349268592&amp;hash=PIPB5ah8Cwz2I7whWtNq7A==&amp;nbl=true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horka@vutbr.cz" TargetMode="External"/><Relationship Id="rId12" Type="http://schemas.openxmlformats.org/officeDocument/2006/relationships/hyperlink" Target="https://helpdesk.tacr.cz/knowledgebase.php?category=2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soutez/program-delta-2/pata-verejna-soutez-5/" TargetMode="External"/><Relationship Id="rId5" Type="http://schemas.openxmlformats.org/officeDocument/2006/relationships/hyperlink" Target="mailto:pilcerova@vutbr.cz" TargetMode="External"/><Relationship Id="rId15" Type="http://schemas.openxmlformats.org/officeDocument/2006/relationships/hyperlink" Target="https://www.tacr.cz/wp-content/uploads/documents/2023/05/12/1683900232_P%C5%99%C3%ADloha%20%C4%8D.%202%20-%20Hodnotic%C3%AD%20proces.pdf" TargetMode="External"/><Relationship Id="rId10" Type="http://schemas.openxmlformats.org/officeDocument/2006/relationships/hyperlink" Target="mailto:saskova@vutbr.cz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sepsiova@vutbr.cz" TargetMode="External"/><Relationship Id="rId14" Type="http://schemas.openxmlformats.org/officeDocument/2006/relationships/hyperlink" Target="https://www.tacr.cz/wp-content/uploads/documents/2023/05/17/1684328138_Zad%C3%A1vac%C3%AD%20dokumentace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B68D9F2763649910998E89D96AB68" ma:contentTypeVersion="14" ma:contentTypeDescription="Vytvoří nový dokument" ma:contentTypeScope="" ma:versionID="a5da58d5750baf087190357f062b30a3">
  <xsd:schema xmlns:xsd="http://www.w3.org/2001/XMLSchema" xmlns:xs="http://www.w3.org/2001/XMLSchema" xmlns:p="http://schemas.microsoft.com/office/2006/metadata/properties" xmlns:ns2="041d89de-1744-4521-a685-e886ea2c03de" xmlns:ns3="8c35e4c5-d405-463c-af8a-5ed9b7598b51" targetNamespace="http://schemas.microsoft.com/office/2006/metadata/properties" ma:root="true" ma:fieldsID="b3ab4886b19eb3fb727d95f41b84c429" ns2:_="" ns3:_="">
    <xsd:import namespace="041d89de-1744-4521-a685-e886ea2c03de"/>
    <xsd:import namespace="8c35e4c5-d405-463c-af8a-5ed9b7598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89de-1744-4521-a685-e886ea2c0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5e4c5-d405-463c-af8a-5ed9b7598b5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5fba7fc-e759-43d2-8863-c8702963e369}" ma:internalName="TaxCatchAll" ma:showField="CatchAllData" ma:web="8c35e4c5-d405-463c-af8a-5ed9b7598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35e4c5-d405-463c-af8a-5ed9b7598b51" xsi:nil="true"/>
    <lcf76f155ced4ddcb4097134ff3c332f xmlns="041d89de-1744-4521-a685-e886ea2c03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926337-42C1-4380-AA36-FEAD1723E6B0}"/>
</file>

<file path=customXml/itemProps2.xml><?xml version="1.0" encoding="utf-8"?>
<ds:datastoreItem xmlns:ds="http://schemas.openxmlformats.org/officeDocument/2006/customXml" ds:itemID="{1ADDE3E0-9D37-4CCB-9D51-55875E472B00}"/>
</file>

<file path=customXml/itemProps3.xml><?xml version="1.0" encoding="utf-8"?>
<ds:datastoreItem xmlns:ds="http://schemas.openxmlformats.org/officeDocument/2006/customXml" ds:itemID="{D78E1C93-2D00-4514-82EE-FBD3AA603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2023-05-18T13:06:00Z</dcterms:created>
  <dcterms:modified xsi:type="dcterms:W3CDTF">2023-05-18T13:06:00Z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0x010100F6FB68D9F2763649910998E89D96AB68</vt:lpwstr>
  </property>
</Properties>
</file>