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9929" w14:textId="77777777" w:rsidR="00202044" w:rsidRPr="002A7ABA" w:rsidRDefault="00BB6F03" w:rsidP="002A7ABA">
      <w:pPr>
        <w:spacing w:after="0"/>
        <w:rPr>
          <w:rStyle w:val="subheading-category1"/>
          <w:rFonts w:cstheme="minorHAnsi"/>
          <w:b/>
          <w:caps w:val="0"/>
          <w:color w:val="2F5496" w:themeColor="accent5" w:themeShade="BF"/>
          <w:sz w:val="32"/>
          <w:szCs w:val="32"/>
        </w:rPr>
      </w:pPr>
      <w:r w:rsidRPr="002A7ABA">
        <w:rPr>
          <w:rStyle w:val="subheading-category1"/>
          <w:rFonts w:cstheme="minorHAnsi"/>
          <w:b/>
          <w:caps w:val="0"/>
          <w:color w:val="2F5496" w:themeColor="accent5" w:themeShade="BF"/>
          <w:sz w:val="32"/>
          <w:szCs w:val="32"/>
        </w:rPr>
        <w:t>1</w:t>
      </w:r>
      <w:r w:rsidR="005F4E49" w:rsidRPr="002A7ABA">
        <w:rPr>
          <w:rStyle w:val="subheading-category1"/>
          <w:rFonts w:cstheme="minorHAnsi"/>
          <w:b/>
          <w:caps w:val="0"/>
          <w:color w:val="2F5496" w:themeColor="accent5" w:themeShade="BF"/>
          <w:sz w:val="32"/>
          <w:szCs w:val="32"/>
        </w:rPr>
        <w:t xml:space="preserve">. </w:t>
      </w:r>
      <w:r w:rsidR="0057770F" w:rsidRPr="002A7ABA">
        <w:rPr>
          <w:rStyle w:val="subheading-category1"/>
          <w:rFonts w:cstheme="minorHAnsi"/>
          <w:b/>
          <w:caps w:val="0"/>
          <w:color w:val="2F5496" w:themeColor="accent5" w:themeShade="BF"/>
          <w:sz w:val="32"/>
          <w:szCs w:val="32"/>
        </w:rPr>
        <w:t xml:space="preserve">veřejná soutěž programu Doprava </w:t>
      </w:r>
      <w:r w:rsidR="00853E18" w:rsidRPr="002A7ABA">
        <w:rPr>
          <w:rStyle w:val="subheading-category1"/>
          <w:rFonts w:cstheme="minorHAnsi"/>
          <w:b/>
          <w:caps w:val="0"/>
          <w:color w:val="2F5496" w:themeColor="accent5" w:themeShade="BF"/>
          <w:sz w:val="32"/>
          <w:szCs w:val="32"/>
        </w:rPr>
        <w:t>2030</w:t>
      </w:r>
    </w:p>
    <w:p w14:paraId="6E09808D" w14:textId="77777777" w:rsidR="0057770F" w:rsidRPr="002A7ABA" w:rsidRDefault="00853E18" w:rsidP="002A7ABA">
      <w:pPr>
        <w:spacing w:after="0"/>
        <w:rPr>
          <w:rFonts w:cstheme="minorHAnsi"/>
          <w:b/>
          <w:i/>
          <w:color w:val="FF0000"/>
        </w:rPr>
      </w:pPr>
      <w:r w:rsidRPr="002A7ABA">
        <w:rPr>
          <w:rFonts w:cstheme="minorHAnsi"/>
          <w:b/>
          <w:i/>
          <w:color w:val="FF0000"/>
        </w:rPr>
        <w:t>Tato výzva je financována za národního plánu obnovy!</w:t>
      </w:r>
    </w:p>
    <w:p w14:paraId="7D958613" w14:textId="77777777" w:rsidR="00853E18" w:rsidRPr="002A7ABA" w:rsidRDefault="00853E18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</w:p>
    <w:p w14:paraId="6C45739F" w14:textId="77777777" w:rsidR="0057770F" w:rsidRPr="002A7ABA" w:rsidRDefault="0057770F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2A7ABA">
        <w:rPr>
          <w:rFonts w:cstheme="minorHAnsi"/>
          <w:b/>
          <w:color w:val="1F4E79" w:themeColor="accent1" w:themeShade="80"/>
          <w:sz w:val="28"/>
          <w:szCs w:val="28"/>
        </w:rPr>
        <w:t>Důležité termíny:</w:t>
      </w:r>
    </w:p>
    <w:p w14:paraId="3F718A2E" w14:textId="77777777" w:rsidR="0057770F" w:rsidRPr="002A7ABA" w:rsidRDefault="0057770F" w:rsidP="002A7ABA">
      <w:pPr>
        <w:spacing w:after="0" w:line="240" w:lineRule="auto"/>
        <w:rPr>
          <w:rFonts w:cstheme="minorHAnsi"/>
          <w:b/>
        </w:rPr>
      </w:pPr>
      <w:r w:rsidRPr="002A7ABA">
        <w:rPr>
          <w:rFonts w:cstheme="minorHAnsi"/>
        </w:rPr>
        <w:t xml:space="preserve">Soutěžní lhůta začíná: </w:t>
      </w:r>
      <w:r w:rsidR="00853E18" w:rsidRPr="002A7ABA">
        <w:rPr>
          <w:rFonts w:cstheme="minorHAnsi"/>
          <w:b/>
        </w:rPr>
        <w:t>2</w:t>
      </w:r>
      <w:r w:rsidR="008D7D7B" w:rsidRPr="002A7ABA">
        <w:rPr>
          <w:rFonts w:cstheme="minorHAnsi"/>
          <w:b/>
        </w:rPr>
        <w:t>7</w:t>
      </w:r>
      <w:r w:rsidR="005F4E49" w:rsidRPr="002A7ABA">
        <w:rPr>
          <w:rFonts w:cstheme="minorHAnsi"/>
          <w:b/>
        </w:rPr>
        <w:t>.4.202</w:t>
      </w:r>
      <w:r w:rsidR="00853E18" w:rsidRPr="002A7ABA">
        <w:rPr>
          <w:rFonts w:cstheme="minorHAnsi"/>
          <w:b/>
        </w:rPr>
        <w:t>3</w:t>
      </w:r>
    </w:p>
    <w:p w14:paraId="01CEE473" w14:textId="77777777" w:rsidR="0057770F" w:rsidRPr="002A7ABA" w:rsidRDefault="0057770F" w:rsidP="002A7ABA">
      <w:pPr>
        <w:spacing w:after="0" w:line="240" w:lineRule="auto"/>
        <w:rPr>
          <w:rFonts w:cstheme="minorHAnsi"/>
        </w:rPr>
      </w:pPr>
      <w:r w:rsidRPr="002A7ABA">
        <w:rPr>
          <w:rFonts w:cstheme="minorHAnsi"/>
        </w:rPr>
        <w:t xml:space="preserve">Soutěžní lhůta končí: </w:t>
      </w:r>
      <w:r w:rsidR="00853E18" w:rsidRPr="002A7ABA">
        <w:rPr>
          <w:rFonts w:cstheme="minorHAnsi"/>
          <w:b/>
        </w:rPr>
        <w:t>28</w:t>
      </w:r>
      <w:r w:rsidR="005F4E49" w:rsidRPr="002A7ABA">
        <w:rPr>
          <w:rFonts w:cstheme="minorHAnsi"/>
          <w:b/>
        </w:rPr>
        <w:t>. 6. 202</w:t>
      </w:r>
      <w:r w:rsidR="008D7D7B" w:rsidRPr="002A7ABA">
        <w:rPr>
          <w:rFonts w:cstheme="minorHAnsi"/>
          <w:b/>
        </w:rPr>
        <w:t>2</w:t>
      </w:r>
      <w:r w:rsidRPr="002A7ABA">
        <w:rPr>
          <w:rFonts w:cstheme="minorHAnsi"/>
        </w:rPr>
        <w:t xml:space="preserve"> do 1</w:t>
      </w:r>
      <w:r w:rsidR="00CC39C8" w:rsidRPr="002A7ABA">
        <w:rPr>
          <w:rFonts w:cstheme="minorHAnsi"/>
        </w:rPr>
        <w:t>6</w:t>
      </w:r>
      <w:r w:rsidRPr="002A7ABA">
        <w:rPr>
          <w:rFonts w:cstheme="minorHAnsi"/>
        </w:rPr>
        <w:t>.</w:t>
      </w:r>
      <w:r w:rsidR="00853E18" w:rsidRPr="002A7ABA">
        <w:rPr>
          <w:rFonts w:cstheme="minorHAnsi"/>
        </w:rPr>
        <w:t>29</w:t>
      </w:r>
      <w:r w:rsidRPr="002A7ABA">
        <w:rPr>
          <w:rFonts w:cstheme="minorHAnsi"/>
        </w:rPr>
        <w:t xml:space="preserve"> pro podání projektu; </w:t>
      </w:r>
    </w:p>
    <w:p w14:paraId="791ECC2B" w14:textId="77777777" w:rsidR="002A7ABA" w:rsidRPr="002A7ABA" w:rsidRDefault="002A7ABA" w:rsidP="002A7ABA">
      <w:pPr>
        <w:spacing w:after="0" w:line="240" w:lineRule="auto"/>
        <w:rPr>
          <w:rFonts w:cstheme="minorHAnsi"/>
        </w:rPr>
      </w:pPr>
      <w:r w:rsidRPr="002A7ABA">
        <w:rPr>
          <w:rFonts w:cstheme="minorHAnsi"/>
        </w:rPr>
        <w:t xml:space="preserve">                                      </w:t>
      </w:r>
      <w:r w:rsidR="0057770F" w:rsidRPr="002A7ABA">
        <w:rPr>
          <w:rFonts w:cstheme="minorHAnsi"/>
        </w:rPr>
        <w:t>do 23.59 pro zaslání Potvrzení podání elektronického návrhu</w:t>
      </w:r>
      <w:r w:rsidR="00760FE8" w:rsidRPr="002A7ABA">
        <w:rPr>
          <w:rFonts w:cstheme="minorHAnsi"/>
        </w:rPr>
        <w:t xml:space="preserve">, v datovém poli </w:t>
      </w:r>
      <w:r w:rsidRPr="002A7ABA">
        <w:rPr>
          <w:rFonts w:cstheme="minorHAnsi"/>
        </w:rPr>
        <w:t xml:space="preserve">        </w:t>
      </w:r>
    </w:p>
    <w:p w14:paraId="2D8B76E6" w14:textId="77777777" w:rsidR="002A7ABA" w:rsidRPr="002A7ABA" w:rsidRDefault="002A7ABA" w:rsidP="002A7ABA">
      <w:pPr>
        <w:spacing w:after="0" w:line="240" w:lineRule="auto"/>
        <w:rPr>
          <w:rFonts w:cstheme="minorHAnsi"/>
        </w:rPr>
      </w:pPr>
      <w:r w:rsidRPr="002A7ABA">
        <w:rPr>
          <w:rFonts w:cstheme="minorHAnsi"/>
        </w:rPr>
        <w:t xml:space="preserve">                                      </w:t>
      </w:r>
      <w:r w:rsidR="00760FE8" w:rsidRPr="002A7ABA">
        <w:rPr>
          <w:rFonts w:cstheme="minorHAnsi"/>
        </w:rPr>
        <w:t>Věc musí být uvedeno: „</w:t>
      </w:r>
      <w:r w:rsidR="00853E18" w:rsidRPr="002A7ABA">
        <w:rPr>
          <w:rFonts w:cstheme="minorHAnsi"/>
        </w:rPr>
        <w:t>1. veřejná soutěž programu</w:t>
      </w:r>
      <w:r w:rsidR="00760FE8" w:rsidRPr="002A7ABA">
        <w:rPr>
          <w:rFonts w:cstheme="minorHAnsi"/>
        </w:rPr>
        <w:t xml:space="preserve"> DOPRAVA 20</w:t>
      </w:r>
      <w:r w:rsidR="00853E18" w:rsidRPr="002A7ABA">
        <w:rPr>
          <w:rFonts w:cstheme="minorHAnsi"/>
        </w:rPr>
        <w:t>30</w:t>
      </w:r>
      <w:r w:rsidR="00760FE8" w:rsidRPr="002A7ABA">
        <w:rPr>
          <w:rFonts w:cstheme="minorHAnsi"/>
        </w:rPr>
        <w:t xml:space="preserve"> – Potvrzení </w:t>
      </w:r>
      <w:r w:rsidRPr="002A7ABA">
        <w:rPr>
          <w:rFonts w:cstheme="minorHAnsi"/>
        </w:rPr>
        <w:t xml:space="preserve"> </w:t>
      </w:r>
    </w:p>
    <w:p w14:paraId="5A5D27E6" w14:textId="77777777" w:rsidR="0057770F" w:rsidRPr="002A7ABA" w:rsidRDefault="002A7ABA" w:rsidP="002A7ABA">
      <w:pPr>
        <w:spacing w:after="0" w:line="240" w:lineRule="auto"/>
        <w:rPr>
          <w:rFonts w:cstheme="minorHAnsi"/>
          <w:b/>
        </w:rPr>
      </w:pPr>
      <w:r w:rsidRPr="002A7ABA">
        <w:rPr>
          <w:rFonts w:cstheme="minorHAnsi"/>
        </w:rPr>
        <w:t xml:space="preserve">                                      </w:t>
      </w:r>
      <w:r w:rsidR="00760FE8" w:rsidRPr="002A7ABA">
        <w:rPr>
          <w:rFonts w:cstheme="minorHAnsi"/>
        </w:rPr>
        <w:t>podání“</w:t>
      </w:r>
      <w:r w:rsidR="007628A7" w:rsidRPr="002A7ABA">
        <w:rPr>
          <w:rFonts w:cstheme="minorHAnsi"/>
        </w:rPr>
        <w:t xml:space="preserve">, ID datové schránky TA ČR: </w:t>
      </w:r>
      <w:r w:rsidR="007628A7" w:rsidRPr="002A7ABA">
        <w:rPr>
          <w:rFonts w:cstheme="minorHAnsi"/>
          <w:b/>
        </w:rPr>
        <w:t>afth9xp</w:t>
      </w:r>
    </w:p>
    <w:p w14:paraId="42D0944C" w14:textId="77777777" w:rsidR="00894BEB" w:rsidRPr="002A7ABA" w:rsidRDefault="00894BEB" w:rsidP="002A7ABA">
      <w:pPr>
        <w:spacing w:after="0" w:line="240" w:lineRule="auto"/>
        <w:rPr>
          <w:rFonts w:cstheme="minorHAnsi"/>
          <w:b/>
        </w:rPr>
      </w:pPr>
      <w:r w:rsidRPr="002A7ABA">
        <w:rPr>
          <w:rFonts w:cstheme="minorHAnsi"/>
        </w:rPr>
        <w:t>Vyhlášení výsledků soutěže:</w:t>
      </w:r>
      <w:r w:rsidRPr="002A7ABA">
        <w:rPr>
          <w:rFonts w:cstheme="minorHAnsi"/>
          <w:b/>
        </w:rPr>
        <w:t xml:space="preserve"> do </w:t>
      </w:r>
      <w:r w:rsidR="006A5CBC" w:rsidRPr="002A7ABA">
        <w:rPr>
          <w:rFonts w:cstheme="minorHAnsi"/>
          <w:b/>
        </w:rPr>
        <w:t>3</w:t>
      </w:r>
      <w:r w:rsidR="00853E18" w:rsidRPr="002A7ABA">
        <w:rPr>
          <w:rFonts w:cstheme="minorHAnsi"/>
          <w:b/>
        </w:rPr>
        <w:t>1</w:t>
      </w:r>
      <w:r w:rsidR="00AF3498" w:rsidRPr="002A7ABA">
        <w:rPr>
          <w:rFonts w:cstheme="minorHAnsi"/>
          <w:b/>
        </w:rPr>
        <w:t>. 1</w:t>
      </w:r>
      <w:r w:rsidR="00853E18" w:rsidRPr="002A7ABA">
        <w:rPr>
          <w:rFonts w:cstheme="minorHAnsi"/>
          <w:b/>
        </w:rPr>
        <w:t>2</w:t>
      </w:r>
      <w:r w:rsidR="00AF3498" w:rsidRPr="002A7ABA">
        <w:rPr>
          <w:rFonts w:cstheme="minorHAnsi"/>
          <w:b/>
        </w:rPr>
        <w:t xml:space="preserve"> 202</w:t>
      </w:r>
      <w:r w:rsidR="00853E18" w:rsidRPr="002A7ABA">
        <w:rPr>
          <w:rFonts w:cstheme="minorHAnsi"/>
          <w:b/>
        </w:rPr>
        <w:t>3</w:t>
      </w:r>
    </w:p>
    <w:p w14:paraId="56D5F71B" w14:textId="77777777" w:rsidR="00894BEB" w:rsidRPr="002A7ABA" w:rsidRDefault="00894BEB" w:rsidP="002A7ABA">
      <w:pPr>
        <w:spacing w:after="0" w:line="240" w:lineRule="auto"/>
        <w:rPr>
          <w:rFonts w:cstheme="minorHAnsi"/>
          <w:b/>
        </w:rPr>
      </w:pPr>
      <w:r w:rsidRPr="002A7ABA">
        <w:rPr>
          <w:rFonts w:cstheme="minorHAnsi"/>
        </w:rPr>
        <w:t>Zahájení řešení projektu:</w:t>
      </w:r>
      <w:r w:rsidRPr="002A7ABA">
        <w:rPr>
          <w:rFonts w:cstheme="minorHAnsi"/>
          <w:b/>
        </w:rPr>
        <w:t xml:space="preserve"> </w:t>
      </w:r>
      <w:r w:rsidR="00AF3498" w:rsidRPr="002A7ABA">
        <w:rPr>
          <w:rFonts w:cstheme="minorHAnsi"/>
          <w:b/>
        </w:rPr>
        <w:t>1. 1. 202</w:t>
      </w:r>
      <w:r w:rsidR="00853E18" w:rsidRPr="002A7ABA">
        <w:rPr>
          <w:rFonts w:cstheme="minorHAnsi"/>
          <w:b/>
        </w:rPr>
        <w:t>4</w:t>
      </w:r>
      <w:r w:rsidR="00AF3498" w:rsidRPr="002A7ABA">
        <w:rPr>
          <w:rFonts w:cstheme="minorHAnsi"/>
          <w:b/>
        </w:rPr>
        <w:t xml:space="preserve"> – 1. </w:t>
      </w:r>
      <w:r w:rsidR="008D7D7B" w:rsidRPr="002A7ABA">
        <w:rPr>
          <w:rFonts w:cstheme="minorHAnsi"/>
          <w:b/>
        </w:rPr>
        <w:t>2</w:t>
      </w:r>
      <w:r w:rsidR="00AF3498" w:rsidRPr="002A7ABA">
        <w:rPr>
          <w:rFonts w:cstheme="minorHAnsi"/>
          <w:b/>
        </w:rPr>
        <w:t>. 202</w:t>
      </w:r>
      <w:r w:rsidR="00853E18" w:rsidRPr="002A7ABA">
        <w:rPr>
          <w:rFonts w:cstheme="minorHAnsi"/>
          <w:b/>
        </w:rPr>
        <w:t>4</w:t>
      </w:r>
    </w:p>
    <w:p w14:paraId="6975BC4B" w14:textId="77777777" w:rsidR="00894BEB" w:rsidRPr="002A7ABA" w:rsidRDefault="00894BEB" w:rsidP="002A7ABA">
      <w:pPr>
        <w:spacing w:after="0" w:line="240" w:lineRule="auto"/>
        <w:rPr>
          <w:rFonts w:cstheme="minorHAnsi"/>
          <w:b/>
        </w:rPr>
      </w:pPr>
      <w:r w:rsidRPr="002A7ABA">
        <w:rPr>
          <w:rFonts w:cstheme="minorHAnsi"/>
        </w:rPr>
        <w:t>Délka řešení projektu:</w:t>
      </w:r>
      <w:r w:rsidRPr="002A7ABA">
        <w:rPr>
          <w:rFonts w:cstheme="minorHAnsi"/>
          <w:b/>
        </w:rPr>
        <w:t xml:space="preserve"> 12 – </w:t>
      </w:r>
      <w:r w:rsidR="00853E18" w:rsidRPr="002A7ABA">
        <w:rPr>
          <w:rFonts w:cstheme="minorHAnsi"/>
          <w:b/>
        </w:rPr>
        <w:t>30</w:t>
      </w:r>
      <w:r w:rsidRPr="002A7ABA">
        <w:rPr>
          <w:rFonts w:cstheme="minorHAnsi"/>
          <w:b/>
        </w:rPr>
        <w:t xml:space="preserve"> měsíců</w:t>
      </w:r>
    </w:p>
    <w:p w14:paraId="64C58241" w14:textId="77777777" w:rsidR="0057770F" w:rsidRPr="002A7ABA" w:rsidRDefault="0057770F" w:rsidP="002A7ABA">
      <w:pPr>
        <w:spacing w:after="0"/>
        <w:rPr>
          <w:rFonts w:cstheme="minorHAnsi"/>
          <w:b/>
        </w:rPr>
      </w:pPr>
    </w:p>
    <w:p w14:paraId="0822DEDE" w14:textId="77777777" w:rsidR="005E71F4" w:rsidRPr="002A7ABA" w:rsidRDefault="005E71F4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2A7ABA">
        <w:rPr>
          <w:rFonts w:cstheme="minorHAnsi"/>
          <w:b/>
          <w:color w:val="1F4E79" w:themeColor="accent1" w:themeShade="80"/>
          <w:sz w:val="28"/>
          <w:szCs w:val="28"/>
        </w:rPr>
        <w:t>Kontaktní osoby:</w:t>
      </w:r>
    </w:p>
    <w:p w14:paraId="3CCCA9AA" w14:textId="77777777" w:rsidR="005E71F4" w:rsidRPr="002A7ABA" w:rsidRDefault="005E71F4" w:rsidP="002A7ABA">
      <w:pPr>
        <w:spacing w:after="0"/>
        <w:rPr>
          <w:rFonts w:cstheme="minorHAnsi"/>
          <w:b/>
        </w:rPr>
      </w:pPr>
      <w:r w:rsidRPr="002A7ABA">
        <w:rPr>
          <w:rFonts w:cstheme="minorHAnsi"/>
          <w:b/>
        </w:rPr>
        <w:t xml:space="preserve">Soutěž TAČR na VUT Brno – Ing. </w:t>
      </w:r>
      <w:r w:rsidR="00853E18" w:rsidRPr="002A7ABA">
        <w:rPr>
          <w:rFonts w:cstheme="minorHAnsi"/>
          <w:b/>
        </w:rPr>
        <w:t>Veronika Pilcerová</w:t>
      </w:r>
      <w:r w:rsidRPr="002A7ABA">
        <w:rPr>
          <w:rFonts w:cstheme="minorHAnsi"/>
          <w:b/>
        </w:rPr>
        <w:t xml:space="preserve"> (</w:t>
      </w:r>
      <w:hyperlink r:id="rId8" w:history="1">
        <w:r w:rsidR="00853E18" w:rsidRPr="002A7ABA">
          <w:rPr>
            <w:rStyle w:val="Hypertextovodkaz"/>
            <w:rFonts w:cstheme="minorHAnsi"/>
            <w:b/>
          </w:rPr>
          <w:t>pilcerova@vutbr.cz</w:t>
        </w:r>
      </w:hyperlink>
      <w:r w:rsidRPr="002A7ABA">
        <w:rPr>
          <w:rFonts w:cstheme="minorHAnsi"/>
          <w:b/>
        </w:rPr>
        <w:t>, kl. 5237)</w:t>
      </w:r>
    </w:p>
    <w:p w14:paraId="1295AF62" w14:textId="77777777" w:rsidR="005E71F4" w:rsidRPr="002A7ABA" w:rsidRDefault="005E71F4" w:rsidP="002A7ABA">
      <w:pPr>
        <w:spacing w:after="0"/>
        <w:rPr>
          <w:rFonts w:cstheme="minorHAnsi"/>
          <w:b/>
        </w:rPr>
      </w:pPr>
      <w:r w:rsidRPr="002A7ABA">
        <w:rPr>
          <w:rFonts w:cstheme="minorHAnsi"/>
          <w:b/>
        </w:rPr>
        <w:t xml:space="preserve">Duševní vlastnictví, konzultace smlouvy mezi uchazeči, Letter of intent – OTT – </w:t>
      </w:r>
      <w:r w:rsidR="008D7D7B" w:rsidRPr="002A7ABA">
        <w:rPr>
          <w:rFonts w:cstheme="minorHAnsi"/>
          <w:b/>
        </w:rPr>
        <w:t>Mgr. Michaela Daňková</w:t>
      </w:r>
      <w:r w:rsidRPr="002A7ABA">
        <w:rPr>
          <w:rFonts w:cstheme="minorHAnsi"/>
          <w:b/>
        </w:rPr>
        <w:t xml:space="preserve"> (</w:t>
      </w:r>
      <w:hyperlink r:id="rId9" w:history="1">
        <w:r w:rsidR="008D7D7B" w:rsidRPr="002A7ABA">
          <w:rPr>
            <w:rStyle w:val="Hypertextovodkaz"/>
            <w:rFonts w:cstheme="minorHAnsi"/>
            <w:b/>
          </w:rPr>
          <w:t>dankovam@vutbr.cz</w:t>
        </w:r>
      </w:hyperlink>
      <w:r w:rsidRPr="002A7ABA">
        <w:rPr>
          <w:rFonts w:cstheme="minorHAnsi"/>
          <w:b/>
        </w:rPr>
        <w:t>, kl. 422</w:t>
      </w:r>
      <w:r w:rsidR="008D7D7B" w:rsidRPr="002A7ABA">
        <w:rPr>
          <w:rFonts w:cstheme="minorHAnsi"/>
          <w:b/>
        </w:rPr>
        <w:t>8</w:t>
      </w:r>
      <w:r w:rsidRPr="002A7ABA">
        <w:rPr>
          <w:rFonts w:cstheme="minorHAnsi"/>
          <w:b/>
        </w:rPr>
        <w:t>)</w:t>
      </w:r>
    </w:p>
    <w:p w14:paraId="1376072A" w14:textId="77777777" w:rsidR="00853E18" w:rsidRPr="002A7ABA" w:rsidRDefault="00853E18" w:rsidP="002A7ABA">
      <w:pPr>
        <w:spacing w:after="0" w:line="240" w:lineRule="auto"/>
        <w:jc w:val="both"/>
        <w:rPr>
          <w:rFonts w:cstheme="minorHAnsi"/>
          <w:b/>
        </w:rPr>
      </w:pPr>
      <w:r w:rsidRPr="002A7ABA">
        <w:rPr>
          <w:rFonts w:cstheme="minorHAnsi"/>
          <w:b/>
        </w:rPr>
        <w:t xml:space="preserve">Proces průběhu ochrany duševního vlastnictví (vč. podání přihlášky patentu, užitného vzoru nebo průmyslového vzoru) – JUDr. Iva Horká </w:t>
      </w:r>
      <w:hyperlink r:id="rId10" w:history="1">
        <w:r w:rsidRPr="002A7ABA">
          <w:rPr>
            <w:rStyle w:val="Hypertextovodkaz"/>
            <w:rFonts w:cstheme="minorHAnsi"/>
            <w:b/>
          </w:rPr>
          <w:t>horka@vutbr.cz</w:t>
        </w:r>
      </w:hyperlink>
      <w:r w:rsidRPr="002A7ABA">
        <w:rPr>
          <w:rFonts w:cstheme="minorHAnsi"/>
          <w:b/>
        </w:rPr>
        <w:t xml:space="preserve">, kl.4225; Ing. Jana Ondroušková, Ph.d. </w:t>
      </w:r>
      <w:hyperlink r:id="rId11" w:history="1">
        <w:r w:rsidRPr="002A7ABA">
          <w:rPr>
            <w:rStyle w:val="Hypertextovodkaz"/>
            <w:rFonts w:cstheme="minorHAnsi"/>
            <w:b/>
          </w:rPr>
          <w:t>jana.ondrouskova@vutbr.cz</w:t>
        </w:r>
      </w:hyperlink>
      <w:r w:rsidRPr="002A7ABA">
        <w:rPr>
          <w:rFonts w:cstheme="minorHAnsi"/>
          <w:b/>
        </w:rPr>
        <w:t xml:space="preserve"> , kl. 4224; Bc. Sára Sepšiová </w:t>
      </w:r>
      <w:hyperlink r:id="rId12" w:history="1">
        <w:r w:rsidRPr="002A7ABA">
          <w:rPr>
            <w:rStyle w:val="Hypertextovodkaz"/>
            <w:rFonts w:cstheme="minorHAnsi"/>
            <w:b/>
          </w:rPr>
          <w:t>sepsiova@vutbr.cz</w:t>
        </w:r>
      </w:hyperlink>
      <w:r w:rsidRPr="002A7ABA">
        <w:rPr>
          <w:rFonts w:cstheme="minorHAnsi"/>
          <w:b/>
        </w:rPr>
        <w:t xml:space="preserve"> , kl. 4230 )</w:t>
      </w:r>
    </w:p>
    <w:p w14:paraId="31FD9174" w14:textId="77777777" w:rsidR="00853E18" w:rsidRPr="002A7ABA" w:rsidRDefault="00853E18" w:rsidP="002A7ABA">
      <w:pPr>
        <w:spacing w:after="0"/>
        <w:rPr>
          <w:rFonts w:cstheme="minorHAnsi"/>
          <w:b/>
        </w:rPr>
      </w:pPr>
      <w:r w:rsidRPr="002A7ABA">
        <w:rPr>
          <w:rFonts w:cstheme="minorHAnsi"/>
          <w:b/>
        </w:rPr>
        <w:t>Otázka DPH v projektech TAČR – Ing. Romana Sasková (</w:t>
      </w:r>
      <w:hyperlink r:id="rId13" w:history="1">
        <w:r w:rsidRPr="002A7ABA">
          <w:rPr>
            <w:rStyle w:val="Hypertextovodkaz"/>
            <w:rFonts w:cstheme="minorHAnsi"/>
            <w:b/>
          </w:rPr>
          <w:t>saskova@vutbr.cz</w:t>
        </w:r>
      </w:hyperlink>
      <w:r w:rsidRPr="002A7ABA">
        <w:rPr>
          <w:rFonts w:cstheme="minorHAnsi"/>
          <w:b/>
        </w:rPr>
        <w:t>, kl. 5356)</w:t>
      </w:r>
    </w:p>
    <w:p w14:paraId="67C1D5A5" w14:textId="77777777" w:rsidR="002A7ABA" w:rsidRPr="002A7ABA" w:rsidRDefault="002A7ABA" w:rsidP="002A7ABA">
      <w:pPr>
        <w:spacing w:after="0"/>
        <w:rPr>
          <w:rFonts w:cstheme="minorHAnsi"/>
          <w:b/>
        </w:rPr>
      </w:pPr>
    </w:p>
    <w:p w14:paraId="122E183A" w14:textId="06D35EB4" w:rsidR="005E71F4" w:rsidRPr="002A7ABA" w:rsidRDefault="005E71F4" w:rsidP="002A7ABA">
      <w:pPr>
        <w:spacing w:after="0"/>
        <w:rPr>
          <w:rFonts w:cstheme="minorHAnsi"/>
          <w:b/>
        </w:rPr>
      </w:pPr>
      <w:r w:rsidRPr="002A7ABA">
        <w:rPr>
          <w:rFonts w:cstheme="minorHAnsi"/>
          <w:b/>
        </w:rPr>
        <w:t>Zadání do APOLLA pod programem financování: C</w:t>
      </w:r>
      <w:r w:rsidR="006B5BFB">
        <w:rPr>
          <w:rFonts w:cstheme="minorHAnsi"/>
          <w:b/>
        </w:rPr>
        <w:t>L</w:t>
      </w:r>
      <w:r w:rsidRPr="002A7ABA">
        <w:rPr>
          <w:rFonts w:cstheme="minorHAnsi"/>
          <w:b/>
        </w:rPr>
        <w:t>0</w:t>
      </w:r>
      <w:r w:rsidR="00853E18" w:rsidRPr="002A7ABA">
        <w:rPr>
          <w:rFonts w:cstheme="minorHAnsi"/>
          <w:b/>
        </w:rPr>
        <w:t>1</w:t>
      </w:r>
      <w:r w:rsidRPr="002A7ABA">
        <w:rPr>
          <w:rFonts w:cstheme="minorHAnsi"/>
          <w:b/>
        </w:rPr>
        <w:t>0</w:t>
      </w:r>
    </w:p>
    <w:p w14:paraId="0D641129" w14:textId="77777777" w:rsidR="005E71F4" w:rsidRPr="002A7ABA" w:rsidRDefault="005E71F4" w:rsidP="002A7ABA">
      <w:pPr>
        <w:spacing w:after="0"/>
        <w:rPr>
          <w:rFonts w:cstheme="minorHAnsi"/>
          <w:b/>
        </w:rPr>
      </w:pPr>
    </w:p>
    <w:p w14:paraId="52F30C30" w14:textId="77777777" w:rsidR="00C10D9F" w:rsidRPr="002A7ABA" w:rsidRDefault="00C10D9F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2A7ABA">
        <w:rPr>
          <w:rFonts w:cstheme="minorHAnsi"/>
          <w:b/>
          <w:color w:val="1F4E79" w:themeColor="accent1" w:themeShade="80"/>
          <w:sz w:val="28"/>
          <w:szCs w:val="28"/>
        </w:rPr>
        <w:t>Odkaz na soutěž:</w:t>
      </w:r>
    </w:p>
    <w:p w14:paraId="5127736A" w14:textId="77777777" w:rsidR="00760FE8" w:rsidRPr="002A7ABA" w:rsidRDefault="006B5BFB" w:rsidP="002A7ABA">
      <w:pPr>
        <w:spacing w:after="0"/>
        <w:rPr>
          <w:rFonts w:cstheme="minorHAnsi"/>
        </w:rPr>
      </w:pPr>
      <w:hyperlink r:id="rId14" w:history="1">
        <w:r w:rsidR="00853E18" w:rsidRPr="002A7ABA">
          <w:rPr>
            <w:rStyle w:val="Hypertextovodkaz"/>
            <w:rFonts w:cstheme="minorHAnsi"/>
          </w:rPr>
          <w:t>https://www.tacr.cz/soutez/doprava-2030/prvni-verejna-soutez-7/</w:t>
        </w:r>
      </w:hyperlink>
      <w:r w:rsidR="00853E18" w:rsidRPr="002A7ABA">
        <w:rPr>
          <w:rFonts w:cstheme="minorHAnsi"/>
        </w:rPr>
        <w:t xml:space="preserve"> </w:t>
      </w:r>
    </w:p>
    <w:p w14:paraId="71838B83" w14:textId="77777777" w:rsidR="00853E18" w:rsidRPr="002A7ABA" w:rsidRDefault="00853E18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</w:p>
    <w:p w14:paraId="5E8C10E8" w14:textId="77777777" w:rsidR="0057770F" w:rsidRPr="002A7ABA" w:rsidRDefault="0057770F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2A7ABA">
        <w:rPr>
          <w:rFonts w:cstheme="minorHAnsi"/>
          <w:b/>
          <w:color w:val="1F4E79" w:themeColor="accent1" w:themeShade="80"/>
          <w:sz w:val="28"/>
          <w:szCs w:val="28"/>
        </w:rPr>
        <w:t>Uchazeči:</w:t>
      </w:r>
    </w:p>
    <w:p w14:paraId="3E7178E9" w14:textId="77777777" w:rsidR="00686E27" w:rsidRPr="002A7ABA" w:rsidRDefault="00686E27" w:rsidP="002A7ABA">
      <w:pPr>
        <w:spacing w:after="0"/>
        <w:rPr>
          <w:rFonts w:cstheme="minorHAnsi"/>
        </w:rPr>
      </w:pPr>
      <w:r w:rsidRPr="002A7ABA">
        <w:rPr>
          <w:rFonts w:cstheme="minorHAnsi"/>
        </w:rPr>
        <w:t>Subjekty, které mohou přinést nové a aplikovatelné poznatky do dopravního sektoru, přičemž tyto subjekty se mohou hlásit jako:</w:t>
      </w:r>
    </w:p>
    <w:p w14:paraId="22385A50" w14:textId="77777777" w:rsidR="00686E27" w:rsidRPr="002A7ABA" w:rsidRDefault="00686E27" w:rsidP="002A7ABA">
      <w:pPr>
        <w:pStyle w:val="Odstavecseseznamem"/>
        <w:numPr>
          <w:ilvl w:val="0"/>
          <w:numId w:val="36"/>
        </w:numPr>
        <w:spacing w:after="0"/>
        <w:rPr>
          <w:rFonts w:cstheme="minorHAnsi"/>
        </w:rPr>
      </w:pPr>
      <w:r w:rsidRPr="002A7ABA">
        <w:rPr>
          <w:rFonts w:cstheme="minorHAnsi"/>
        </w:rPr>
        <w:t>výzkumná organizace;</w:t>
      </w:r>
    </w:p>
    <w:p w14:paraId="66ED7678" w14:textId="77777777" w:rsidR="00686E27" w:rsidRPr="002A7ABA" w:rsidRDefault="00686E27" w:rsidP="002A7ABA">
      <w:pPr>
        <w:pStyle w:val="Odstavecseseznamem"/>
        <w:numPr>
          <w:ilvl w:val="0"/>
          <w:numId w:val="36"/>
        </w:numPr>
        <w:spacing w:after="0"/>
        <w:rPr>
          <w:rFonts w:cstheme="minorHAnsi"/>
        </w:rPr>
      </w:pPr>
      <w:r w:rsidRPr="002A7ABA">
        <w:rPr>
          <w:rFonts w:cstheme="minorHAnsi"/>
        </w:rPr>
        <w:t>podnik;</w:t>
      </w:r>
    </w:p>
    <w:p w14:paraId="3EE6B768" w14:textId="77777777" w:rsidR="00686E27" w:rsidRPr="002A7ABA" w:rsidRDefault="00686E27" w:rsidP="002A7ABA">
      <w:pPr>
        <w:pStyle w:val="Odstavecseseznamem"/>
        <w:numPr>
          <w:ilvl w:val="0"/>
          <w:numId w:val="36"/>
        </w:numPr>
        <w:spacing w:after="0"/>
        <w:rPr>
          <w:rFonts w:cstheme="minorHAnsi"/>
        </w:rPr>
      </w:pPr>
      <w:r w:rsidRPr="002A7ABA">
        <w:rPr>
          <w:rFonts w:cstheme="minorHAnsi"/>
        </w:rPr>
        <w:t>organizační složka státu;</w:t>
      </w:r>
    </w:p>
    <w:p w14:paraId="3416D425" w14:textId="77777777" w:rsidR="00686E27" w:rsidRPr="002A7ABA" w:rsidRDefault="00686E27" w:rsidP="002A7ABA">
      <w:pPr>
        <w:pStyle w:val="Odstavecseseznamem"/>
        <w:numPr>
          <w:ilvl w:val="0"/>
          <w:numId w:val="36"/>
        </w:numPr>
        <w:spacing w:after="0"/>
        <w:rPr>
          <w:rFonts w:cstheme="minorHAnsi"/>
        </w:rPr>
      </w:pPr>
      <w:r w:rsidRPr="002A7ABA">
        <w:rPr>
          <w:rFonts w:cstheme="minorHAnsi"/>
        </w:rPr>
        <w:t>územní samosprávný celek.</w:t>
      </w:r>
    </w:p>
    <w:p w14:paraId="6AD54E3B" w14:textId="77777777" w:rsidR="00686E27" w:rsidRPr="002A7ABA" w:rsidRDefault="00686E27" w:rsidP="002A7ABA">
      <w:pPr>
        <w:spacing w:after="0"/>
        <w:rPr>
          <w:rFonts w:cstheme="minorHAnsi"/>
        </w:rPr>
      </w:pPr>
    </w:p>
    <w:p w14:paraId="14270F85" w14:textId="77777777" w:rsidR="00AF3498" w:rsidRPr="002A7ABA" w:rsidRDefault="00AF3498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2A7ABA">
        <w:rPr>
          <w:rFonts w:cstheme="minorHAnsi"/>
          <w:b/>
          <w:color w:val="1F4E79" w:themeColor="accent1" w:themeShade="80"/>
          <w:sz w:val="28"/>
          <w:szCs w:val="28"/>
        </w:rPr>
        <w:t>Zaměření soutěže:</w:t>
      </w:r>
    </w:p>
    <w:p w14:paraId="398B0BF4" w14:textId="77777777" w:rsidR="008D7D7B" w:rsidRPr="002A7ABA" w:rsidRDefault="008D7D7B" w:rsidP="002A7ABA">
      <w:pPr>
        <w:spacing w:after="0"/>
        <w:rPr>
          <w:rFonts w:cstheme="minorHAnsi"/>
        </w:rPr>
      </w:pPr>
      <w:r w:rsidRPr="002A7ABA">
        <w:rPr>
          <w:rFonts w:cstheme="minorHAnsi"/>
        </w:rPr>
        <w:t xml:space="preserve">Veřejná soutěž svým zaměřením pokrývá výzkum celého dopravního sektoru a všech druhů dopravy, tj. pozemní, vodní a letecké, včetně všech typů dopravních prostředků a dopravní infrastruktury. </w:t>
      </w:r>
    </w:p>
    <w:p w14:paraId="265650AE" w14:textId="77777777" w:rsidR="008D7D7B" w:rsidRPr="002A7ABA" w:rsidRDefault="008D7D7B" w:rsidP="002A7ABA">
      <w:pPr>
        <w:spacing w:after="0"/>
        <w:rPr>
          <w:rFonts w:cstheme="minorHAnsi"/>
        </w:rPr>
      </w:pPr>
      <w:r w:rsidRPr="002A7ABA">
        <w:rPr>
          <w:rFonts w:cstheme="minorHAnsi"/>
        </w:rPr>
        <w:t xml:space="preserve">Každý návrh projektu musí naplnit jeden ze specifických cílů programu: </w:t>
      </w:r>
    </w:p>
    <w:p w14:paraId="5861F029" w14:textId="77777777" w:rsidR="00853E18" w:rsidRPr="002A7ABA" w:rsidRDefault="00853E18" w:rsidP="002A7ABA">
      <w:pPr>
        <w:pStyle w:val="Odstavecseseznamem"/>
        <w:numPr>
          <w:ilvl w:val="0"/>
          <w:numId w:val="37"/>
        </w:numPr>
        <w:spacing w:after="0"/>
        <w:rPr>
          <w:rFonts w:cstheme="minorHAnsi"/>
        </w:rPr>
      </w:pPr>
      <w:r w:rsidRPr="002A7ABA">
        <w:rPr>
          <w:rFonts w:cstheme="minorHAnsi"/>
        </w:rPr>
        <w:t>Udržitelná, přístupná a bezpečná doprava</w:t>
      </w:r>
    </w:p>
    <w:p w14:paraId="404743A4" w14:textId="77777777" w:rsidR="00853E18" w:rsidRPr="002A7ABA" w:rsidRDefault="00853E18" w:rsidP="002A7ABA">
      <w:pPr>
        <w:pStyle w:val="Odstavecseseznamem"/>
        <w:numPr>
          <w:ilvl w:val="0"/>
          <w:numId w:val="37"/>
        </w:numPr>
        <w:spacing w:after="0"/>
        <w:rPr>
          <w:rFonts w:cstheme="minorHAnsi"/>
        </w:rPr>
      </w:pPr>
      <w:r w:rsidRPr="002A7ABA">
        <w:rPr>
          <w:rFonts w:cstheme="minorHAnsi"/>
        </w:rPr>
        <w:t>Automatizace, digitalizace a technologicky pokročilá doprava</w:t>
      </w:r>
    </w:p>
    <w:p w14:paraId="08FAAFE4" w14:textId="77777777" w:rsidR="008D7D7B" w:rsidRPr="002A7ABA" w:rsidRDefault="00853E18" w:rsidP="002A7ABA">
      <w:pPr>
        <w:pStyle w:val="Odstavecseseznamem"/>
        <w:numPr>
          <w:ilvl w:val="0"/>
          <w:numId w:val="37"/>
        </w:numPr>
        <w:spacing w:after="0"/>
        <w:rPr>
          <w:rFonts w:cstheme="minorHAnsi"/>
        </w:rPr>
      </w:pPr>
      <w:r w:rsidRPr="002A7ABA">
        <w:rPr>
          <w:rFonts w:cstheme="minorHAnsi"/>
        </w:rPr>
        <w:t>Nízkoemisní a ekologická doprava - v rámci tohoto cíle bude možné podpořit pouze návrhy projektů, které jsou zaměřeny na výzkum a vývoj bezemisní dopravy.</w:t>
      </w:r>
    </w:p>
    <w:p w14:paraId="143A71FB" w14:textId="77777777" w:rsidR="00853E18" w:rsidRPr="002A7ABA" w:rsidRDefault="00853E18" w:rsidP="002A7ABA">
      <w:pPr>
        <w:spacing w:after="0"/>
        <w:rPr>
          <w:rFonts w:cstheme="minorHAnsi"/>
          <w:b/>
          <w:color w:val="FF0000"/>
        </w:rPr>
      </w:pPr>
      <w:r w:rsidRPr="002A7ABA">
        <w:rPr>
          <w:rFonts w:cstheme="minorHAnsi"/>
          <w:b/>
          <w:color w:val="FF0000"/>
        </w:rPr>
        <w:t>Návrh projektu nesmí být zaměřen na výzkum či vývoj vozidel se spalovacím motorem, v souladu s podmínkami čerpání prostředků z Národního plánu obnovy!</w:t>
      </w:r>
    </w:p>
    <w:p w14:paraId="21336DD9" w14:textId="77777777" w:rsidR="00853E18" w:rsidRPr="002A7ABA" w:rsidRDefault="00853E18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</w:p>
    <w:p w14:paraId="4D09D222" w14:textId="77777777" w:rsidR="00853E18" w:rsidRPr="002A7ABA" w:rsidRDefault="00853E18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2A7ABA">
        <w:rPr>
          <w:rFonts w:cstheme="minorHAnsi"/>
          <w:b/>
          <w:color w:val="1F4E79" w:themeColor="accent1" w:themeShade="80"/>
          <w:sz w:val="28"/>
          <w:szCs w:val="28"/>
        </w:rPr>
        <w:lastRenderedPageBreak/>
        <w:t>Základní finanční údaje:</w:t>
      </w:r>
    </w:p>
    <w:p w14:paraId="0CCF33F4" w14:textId="77777777" w:rsidR="00853E18" w:rsidRPr="002A7ABA" w:rsidRDefault="00853E18" w:rsidP="002A7ABA">
      <w:pPr>
        <w:spacing w:after="0" w:line="100" w:lineRule="atLeast"/>
        <w:rPr>
          <w:rFonts w:cstheme="minorHAnsi"/>
          <w:b/>
        </w:rPr>
      </w:pPr>
      <w:r w:rsidRPr="002A7ABA">
        <w:rPr>
          <w:rFonts w:cstheme="minorHAnsi"/>
        </w:rPr>
        <w:t xml:space="preserve">Alokace soutěže </w:t>
      </w:r>
      <w:r w:rsidRPr="002A7ABA">
        <w:rPr>
          <w:rFonts w:cstheme="minorHAnsi"/>
          <w:b/>
        </w:rPr>
        <w:t xml:space="preserve">- </w:t>
      </w:r>
      <w:r w:rsidR="007D5F3E" w:rsidRPr="002A7ABA">
        <w:rPr>
          <w:rFonts w:cstheme="minorHAnsi"/>
          <w:b/>
        </w:rPr>
        <w:t>240</w:t>
      </w:r>
      <w:r w:rsidRPr="002A7ABA">
        <w:rPr>
          <w:rFonts w:cstheme="minorHAnsi"/>
          <w:b/>
        </w:rPr>
        <w:t xml:space="preserve"> mil. Kč</w:t>
      </w:r>
      <w:r w:rsidR="007D5F3E" w:rsidRPr="002A7ABA">
        <w:rPr>
          <w:rFonts w:cstheme="minorHAnsi"/>
          <w:b/>
        </w:rPr>
        <w:t xml:space="preserve"> (alokace může být navýšena)</w:t>
      </w:r>
    </w:p>
    <w:p w14:paraId="0408C3B4" w14:textId="77777777" w:rsidR="00853E18" w:rsidRPr="002A7ABA" w:rsidRDefault="00853E18" w:rsidP="002A7ABA">
      <w:pPr>
        <w:spacing w:after="0" w:line="100" w:lineRule="atLeast"/>
        <w:rPr>
          <w:rFonts w:cstheme="minorHAnsi"/>
          <w:b/>
        </w:rPr>
      </w:pPr>
      <w:r w:rsidRPr="002A7ABA">
        <w:rPr>
          <w:rFonts w:cstheme="minorHAnsi"/>
        </w:rPr>
        <w:t>Maximální částka podpory na jeden projekt -</w:t>
      </w:r>
      <w:r w:rsidRPr="002A7ABA">
        <w:rPr>
          <w:rFonts w:cstheme="minorHAnsi"/>
          <w:b/>
        </w:rPr>
        <w:t xml:space="preserve"> 25 mil. Kč</w:t>
      </w:r>
    </w:p>
    <w:p w14:paraId="5F487C5F" w14:textId="77777777" w:rsidR="00853E18" w:rsidRPr="002A7ABA" w:rsidRDefault="00853E18" w:rsidP="002A7ABA">
      <w:pPr>
        <w:spacing w:after="0" w:line="100" w:lineRule="atLeast"/>
        <w:rPr>
          <w:rFonts w:cstheme="minorHAnsi"/>
          <w:b/>
        </w:rPr>
      </w:pPr>
      <w:r w:rsidRPr="002A7ABA">
        <w:rPr>
          <w:rFonts w:cstheme="minorHAnsi"/>
        </w:rPr>
        <w:t xml:space="preserve">Maximální intenzita podpory na projekt - </w:t>
      </w:r>
      <w:r w:rsidRPr="002A7ABA">
        <w:rPr>
          <w:rFonts w:cstheme="minorHAnsi"/>
          <w:b/>
        </w:rPr>
        <w:t>80 %</w:t>
      </w:r>
    </w:p>
    <w:p w14:paraId="7AD83A40" w14:textId="77777777" w:rsidR="00853E18" w:rsidRPr="002A7ABA" w:rsidRDefault="00853E18" w:rsidP="002A7ABA">
      <w:pPr>
        <w:spacing w:after="0" w:line="100" w:lineRule="atLeast"/>
        <w:rPr>
          <w:rFonts w:cstheme="minorHAnsi"/>
          <w:b/>
        </w:rPr>
      </w:pPr>
      <w:r w:rsidRPr="002A7ABA">
        <w:rPr>
          <w:rFonts w:cstheme="minorHAnsi"/>
          <w:b/>
        </w:rPr>
        <w:t>Maximální intenzita podpory pro výzkumnou organizaci -  100%</w:t>
      </w:r>
    </w:p>
    <w:p w14:paraId="543F9F1C" w14:textId="77777777" w:rsidR="00853E18" w:rsidRPr="002A7ABA" w:rsidRDefault="00853E18" w:rsidP="002A7ABA">
      <w:pPr>
        <w:spacing w:after="0"/>
        <w:rPr>
          <w:rFonts w:cstheme="minorHAnsi"/>
          <w:b/>
        </w:rPr>
      </w:pPr>
    </w:p>
    <w:p w14:paraId="27C7EABC" w14:textId="77777777" w:rsidR="007D5F3E" w:rsidRPr="002A7ABA" w:rsidRDefault="007D5F3E" w:rsidP="002A7A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Cs w:val="20"/>
        </w:rPr>
      </w:pPr>
      <w:r w:rsidRPr="002A7ABA">
        <w:rPr>
          <w:rFonts w:cstheme="minorHAnsi"/>
          <w:szCs w:val="20"/>
        </w:rPr>
        <w:t xml:space="preserve">V této veřejné soutěži je stanovena </w:t>
      </w:r>
      <w:r w:rsidRPr="002A7ABA">
        <w:rPr>
          <w:rFonts w:cstheme="minorHAnsi"/>
          <w:b/>
          <w:bCs/>
          <w:szCs w:val="20"/>
        </w:rPr>
        <w:t>specifická alokace pro strukturálně postižené regiony</w:t>
      </w:r>
    </w:p>
    <w:p w14:paraId="3B8507E9" w14:textId="77777777" w:rsidR="007D5F3E" w:rsidRPr="002A7ABA" w:rsidRDefault="007D5F3E" w:rsidP="002A7A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2A7ABA">
        <w:rPr>
          <w:rFonts w:cstheme="minorHAnsi"/>
          <w:b/>
          <w:bCs/>
          <w:szCs w:val="20"/>
        </w:rPr>
        <w:t xml:space="preserve">(RE:START) </w:t>
      </w:r>
      <w:r w:rsidRPr="002A7ABA">
        <w:rPr>
          <w:rFonts w:cstheme="minorHAnsi"/>
          <w:szCs w:val="20"/>
        </w:rPr>
        <w:t>v předpokládané výši 19, 2 mil. Kč pro Ústecký, Karlovarský a Moravskoslezský kraj.</w:t>
      </w:r>
    </w:p>
    <w:p w14:paraId="798D58C5" w14:textId="77777777" w:rsidR="007D5F3E" w:rsidRPr="002A7ABA" w:rsidRDefault="007D5F3E" w:rsidP="002A7A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2A7ABA">
        <w:rPr>
          <w:rFonts w:cstheme="minorHAnsi"/>
          <w:szCs w:val="20"/>
        </w:rPr>
        <w:t>Z této alokace budou podpořeny ty návrhy projektů, ve kterých bude mít hlavní uchazeč sídlo</w:t>
      </w:r>
    </w:p>
    <w:p w14:paraId="3E9389AF" w14:textId="77777777" w:rsidR="007D5F3E" w:rsidRPr="002A7ABA" w:rsidRDefault="007D5F3E" w:rsidP="002A7A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2A7ABA">
        <w:rPr>
          <w:rFonts w:cstheme="minorHAnsi"/>
          <w:szCs w:val="20"/>
        </w:rPr>
        <w:t>v jednom z výše uvedených krajů, a které budou doporučeny k podpoře. Pokud nebude dostatek</w:t>
      </w:r>
    </w:p>
    <w:p w14:paraId="3D15CBD3" w14:textId="77777777" w:rsidR="007D5F3E" w:rsidRPr="002A7ABA" w:rsidRDefault="007D5F3E" w:rsidP="002A7ABA">
      <w:pPr>
        <w:spacing w:after="0"/>
        <w:jc w:val="both"/>
        <w:rPr>
          <w:rFonts w:cstheme="minorHAnsi"/>
          <w:b/>
          <w:sz w:val="24"/>
        </w:rPr>
      </w:pPr>
      <w:r w:rsidRPr="002A7ABA">
        <w:rPr>
          <w:rFonts w:cstheme="minorHAnsi"/>
          <w:szCs w:val="20"/>
        </w:rPr>
        <w:t>kvalitních návrhů projektů, budou prostředky využity pro podporu ostatních návrhů projektů.</w:t>
      </w:r>
    </w:p>
    <w:p w14:paraId="083941E9" w14:textId="77777777" w:rsidR="007D5F3E" w:rsidRPr="002A7ABA" w:rsidRDefault="007D5F3E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</w:p>
    <w:p w14:paraId="17A23C79" w14:textId="77777777" w:rsidR="00853E18" w:rsidRPr="002A7ABA" w:rsidRDefault="00853E18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2A7ABA">
        <w:rPr>
          <w:rFonts w:cstheme="minorHAnsi"/>
          <w:b/>
          <w:color w:val="1F4E79" w:themeColor="accent1" w:themeShade="80"/>
          <w:sz w:val="28"/>
          <w:szCs w:val="28"/>
        </w:rPr>
        <w:t xml:space="preserve">Způsobilé náklady: </w:t>
      </w:r>
    </w:p>
    <w:p w14:paraId="45F6A39B" w14:textId="77777777" w:rsidR="00853E18" w:rsidRPr="002A7ABA" w:rsidRDefault="00853E18" w:rsidP="002A7ABA">
      <w:pPr>
        <w:pStyle w:val="Default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2A7ABA">
        <w:rPr>
          <w:rFonts w:asciiTheme="minorHAnsi" w:hAnsiTheme="minorHAnsi" w:cstheme="minorHAnsi"/>
          <w:sz w:val="22"/>
          <w:szCs w:val="22"/>
        </w:rPr>
        <w:t>osobní náklady</w:t>
      </w:r>
    </w:p>
    <w:p w14:paraId="21EF4D3F" w14:textId="77777777" w:rsidR="00853E18" w:rsidRPr="002A7ABA" w:rsidRDefault="00853E18" w:rsidP="002A7ABA">
      <w:pPr>
        <w:pStyle w:val="Default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2A7ABA">
        <w:rPr>
          <w:rFonts w:asciiTheme="minorHAnsi" w:hAnsiTheme="minorHAnsi" w:cstheme="minorHAnsi"/>
          <w:sz w:val="22"/>
          <w:szCs w:val="22"/>
        </w:rPr>
        <w:t xml:space="preserve">stipendia (na VUT nedoporučováno); </w:t>
      </w:r>
    </w:p>
    <w:p w14:paraId="74733EDA" w14:textId="77777777" w:rsidR="00853E18" w:rsidRPr="002A7ABA" w:rsidRDefault="00853E18" w:rsidP="002A7ABA">
      <w:pPr>
        <w:pStyle w:val="Default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2A7ABA">
        <w:rPr>
          <w:rFonts w:asciiTheme="minorHAnsi" w:hAnsiTheme="minorHAnsi" w:cstheme="minorHAnsi"/>
          <w:sz w:val="22"/>
          <w:szCs w:val="22"/>
        </w:rPr>
        <w:t xml:space="preserve">náklady na subdodávky; </w:t>
      </w:r>
    </w:p>
    <w:p w14:paraId="043F30A7" w14:textId="77777777" w:rsidR="00853E18" w:rsidRPr="002A7ABA" w:rsidRDefault="00853E18" w:rsidP="002A7ABA">
      <w:pPr>
        <w:pStyle w:val="Default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2A7ABA">
        <w:rPr>
          <w:rFonts w:asciiTheme="minorHAnsi" w:hAnsiTheme="minorHAnsi" w:cstheme="minorHAnsi"/>
          <w:sz w:val="22"/>
          <w:szCs w:val="22"/>
        </w:rPr>
        <w:t xml:space="preserve">ostatní přímé náklady; </w:t>
      </w:r>
    </w:p>
    <w:p w14:paraId="073A2919" w14:textId="77777777" w:rsidR="00853E18" w:rsidRPr="002A7ABA" w:rsidRDefault="00853E18" w:rsidP="002A7ABA">
      <w:pPr>
        <w:pStyle w:val="Default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2A7ABA">
        <w:rPr>
          <w:rFonts w:asciiTheme="minorHAnsi" w:hAnsiTheme="minorHAnsi" w:cstheme="minorHAnsi"/>
          <w:sz w:val="22"/>
          <w:szCs w:val="22"/>
        </w:rPr>
        <w:t>nepřímé náklady</w:t>
      </w:r>
      <w:r w:rsidR="007D5F3E" w:rsidRPr="002A7ABA">
        <w:rPr>
          <w:rFonts w:asciiTheme="minorHAnsi" w:hAnsiTheme="minorHAnsi" w:cstheme="minorHAnsi"/>
          <w:sz w:val="22"/>
          <w:szCs w:val="22"/>
        </w:rPr>
        <w:t xml:space="preserve"> – fullcost nebo flat rare do výše 25%</w:t>
      </w:r>
    </w:p>
    <w:p w14:paraId="5D4760EC" w14:textId="77777777" w:rsidR="00853E18" w:rsidRPr="002A7ABA" w:rsidRDefault="00853E18" w:rsidP="002A7ABA">
      <w:pPr>
        <w:spacing w:after="0"/>
        <w:rPr>
          <w:rFonts w:cstheme="minorHAnsi"/>
          <w:color w:val="FF0000"/>
        </w:rPr>
      </w:pPr>
    </w:p>
    <w:p w14:paraId="165E2A75" w14:textId="77777777" w:rsidR="007D5F3E" w:rsidRPr="002A7ABA" w:rsidRDefault="007D5F3E" w:rsidP="002A7ABA">
      <w:pPr>
        <w:spacing w:after="0"/>
        <w:rPr>
          <w:rFonts w:cstheme="minorHAnsi"/>
          <w:b/>
          <w:color w:val="FF0000"/>
        </w:rPr>
      </w:pPr>
      <w:r w:rsidRPr="002A7ABA">
        <w:rPr>
          <w:rFonts w:cstheme="minorHAnsi"/>
          <w:b/>
          <w:color w:val="FF0000"/>
        </w:rPr>
        <w:t>DPH není způsobilý náklad!</w:t>
      </w:r>
    </w:p>
    <w:p w14:paraId="358F937C" w14:textId="77777777" w:rsidR="002A7ABA" w:rsidRDefault="002A7ABA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</w:p>
    <w:p w14:paraId="6019D2BD" w14:textId="77777777" w:rsidR="007E344D" w:rsidRPr="002A7ABA" w:rsidRDefault="007E344D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2A7ABA">
        <w:rPr>
          <w:rFonts w:cstheme="minorHAnsi"/>
          <w:b/>
          <w:color w:val="1F4E79" w:themeColor="accent1" w:themeShade="80"/>
          <w:sz w:val="28"/>
          <w:szCs w:val="28"/>
        </w:rPr>
        <w:t>Očekávané výsledky: alespoň jeden z následujících výsledků</w:t>
      </w:r>
    </w:p>
    <w:p w14:paraId="59B67C91" w14:textId="77777777" w:rsidR="00853E18" w:rsidRPr="002A7ABA" w:rsidRDefault="00853E18" w:rsidP="002A7AB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2A7ABA">
        <w:rPr>
          <w:rFonts w:cstheme="minorHAnsi"/>
          <w:b/>
          <w:bCs/>
          <w:color w:val="000000"/>
          <w:szCs w:val="20"/>
        </w:rPr>
        <w:t xml:space="preserve">Fprum </w:t>
      </w:r>
      <w:r w:rsidRPr="002A7ABA">
        <w:rPr>
          <w:rFonts w:cstheme="minorHAnsi"/>
          <w:color w:val="000000"/>
          <w:szCs w:val="20"/>
        </w:rPr>
        <w:t>– průmyslový vzor;</w:t>
      </w:r>
    </w:p>
    <w:p w14:paraId="48D5B3B2" w14:textId="77777777" w:rsidR="00853E18" w:rsidRPr="002A7ABA" w:rsidRDefault="00853E18" w:rsidP="002A7AB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2A7ABA">
        <w:rPr>
          <w:rFonts w:cstheme="minorHAnsi"/>
          <w:b/>
          <w:bCs/>
          <w:color w:val="000000"/>
          <w:szCs w:val="20"/>
        </w:rPr>
        <w:t xml:space="preserve">Fuzit </w:t>
      </w:r>
      <w:r w:rsidRPr="002A7ABA">
        <w:rPr>
          <w:rFonts w:cstheme="minorHAnsi"/>
          <w:color w:val="000000"/>
          <w:szCs w:val="20"/>
        </w:rPr>
        <w:t>– užitný vzor;</w:t>
      </w:r>
    </w:p>
    <w:p w14:paraId="495B9884" w14:textId="77777777" w:rsidR="00853E18" w:rsidRPr="002A7ABA" w:rsidRDefault="00853E18" w:rsidP="002A7AB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2A7ABA">
        <w:rPr>
          <w:rFonts w:cstheme="minorHAnsi"/>
          <w:b/>
          <w:bCs/>
          <w:color w:val="000000"/>
          <w:szCs w:val="20"/>
        </w:rPr>
        <w:t xml:space="preserve">Gprot </w:t>
      </w:r>
      <w:r w:rsidRPr="002A7ABA">
        <w:rPr>
          <w:rFonts w:cstheme="minorHAnsi"/>
          <w:color w:val="000000"/>
          <w:szCs w:val="20"/>
        </w:rPr>
        <w:t>– prototyp;</w:t>
      </w:r>
    </w:p>
    <w:p w14:paraId="59F6EC86" w14:textId="77777777" w:rsidR="00853E18" w:rsidRPr="002A7ABA" w:rsidRDefault="00853E18" w:rsidP="002A7AB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2A7ABA">
        <w:rPr>
          <w:rFonts w:cstheme="minorHAnsi"/>
          <w:b/>
          <w:bCs/>
          <w:color w:val="000000"/>
          <w:szCs w:val="20"/>
        </w:rPr>
        <w:t xml:space="preserve">Gfunk </w:t>
      </w:r>
      <w:r w:rsidRPr="002A7ABA">
        <w:rPr>
          <w:rFonts w:cstheme="minorHAnsi"/>
          <w:color w:val="000000"/>
          <w:szCs w:val="20"/>
        </w:rPr>
        <w:t>– funkční vzorek;</w:t>
      </w:r>
    </w:p>
    <w:p w14:paraId="70DCB215" w14:textId="77777777" w:rsidR="00853E18" w:rsidRPr="002A7ABA" w:rsidRDefault="00853E18" w:rsidP="002A7AB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2A7ABA">
        <w:rPr>
          <w:rFonts w:cstheme="minorHAnsi"/>
          <w:b/>
          <w:bCs/>
          <w:color w:val="000000"/>
          <w:szCs w:val="20"/>
        </w:rPr>
        <w:t xml:space="preserve">Hneleg </w:t>
      </w:r>
      <w:r w:rsidRPr="002A7ABA">
        <w:rPr>
          <w:rFonts w:cstheme="minorHAnsi"/>
          <w:color w:val="000000"/>
          <w:szCs w:val="20"/>
        </w:rPr>
        <w:t>– výsledky promítnuté do směrnic a předpisů nelegislativní povahy závazných v rámci</w:t>
      </w:r>
    </w:p>
    <w:p w14:paraId="5DA8D4ED" w14:textId="77777777" w:rsidR="00853E18" w:rsidRPr="002A7ABA" w:rsidRDefault="00853E18" w:rsidP="002A7AB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2A7ABA">
        <w:rPr>
          <w:rFonts w:cstheme="minorHAnsi"/>
          <w:color w:val="000000"/>
          <w:szCs w:val="20"/>
        </w:rPr>
        <w:t>kompetence příslušného poskytovatele;</w:t>
      </w:r>
    </w:p>
    <w:p w14:paraId="30FD6755" w14:textId="77777777" w:rsidR="00853E18" w:rsidRPr="002A7ABA" w:rsidRDefault="00853E18" w:rsidP="002A7AB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2A7ABA">
        <w:rPr>
          <w:rFonts w:cstheme="minorHAnsi"/>
          <w:b/>
          <w:bCs/>
          <w:color w:val="000000"/>
          <w:szCs w:val="20"/>
        </w:rPr>
        <w:t xml:space="preserve">Hkonc </w:t>
      </w:r>
      <w:r w:rsidRPr="002A7ABA">
        <w:rPr>
          <w:rFonts w:cstheme="minorHAnsi"/>
          <w:color w:val="000000"/>
          <w:szCs w:val="20"/>
        </w:rPr>
        <w:t>– výsledky promítnuté do schválených strategických a koncepčních dokumentů orgánů</w:t>
      </w:r>
    </w:p>
    <w:p w14:paraId="0471FC8D" w14:textId="77777777" w:rsidR="00853E18" w:rsidRPr="002A7ABA" w:rsidRDefault="00853E18" w:rsidP="002A7AB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2A7ABA">
        <w:rPr>
          <w:rFonts w:cstheme="minorHAnsi"/>
          <w:color w:val="000000"/>
          <w:szCs w:val="20"/>
        </w:rPr>
        <w:t>státní nebo veřejné správy;</w:t>
      </w:r>
    </w:p>
    <w:p w14:paraId="23F26A71" w14:textId="77777777" w:rsidR="00853E18" w:rsidRPr="002A7ABA" w:rsidRDefault="00853E18" w:rsidP="002A7AB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Cs w:val="20"/>
        </w:rPr>
      </w:pPr>
      <w:r w:rsidRPr="002A7ABA">
        <w:rPr>
          <w:rFonts w:cstheme="minorHAnsi"/>
          <w:b/>
          <w:bCs/>
          <w:color w:val="000000"/>
          <w:szCs w:val="20"/>
        </w:rPr>
        <w:t xml:space="preserve">NmetA </w:t>
      </w:r>
      <w:r w:rsidRPr="002A7ABA">
        <w:rPr>
          <w:rFonts w:cstheme="minorHAnsi"/>
          <w:color w:val="000000"/>
          <w:szCs w:val="20"/>
        </w:rPr>
        <w:t xml:space="preserve">– metodika a postup akreditované oprávněným orgánem – </w:t>
      </w:r>
      <w:r w:rsidRPr="002A7ABA">
        <w:rPr>
          <w:rFonts w:cstheme="minorHAnsi"/>
          <w:b/>
          <w:bCs/>
          <w:color w:val="000000"/>
          <w:szCs w:val="20"/>
        </w:rPr>
        <w:t>povinnou přílohou</w:t>
      </w:r>
    </w:p>
    <w:p w14:paraId="25EA33E4" w14:textId="77777777" w:rsidR="00853E18" w:rsidRPr="002A7ABA" w:rsidRDefault="00853E18" w:rsidP="002A7AB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F13741"/>
          <w:szCs w:val="20"/>
        </w:rPr>
      </w:pPr>
      <w:r w:rsidRPr="002A7ABA">
        <w:rPr>
          <w:rFonts w:cstheme="minorHAnsi"/>
          <w:color w:val="000000"/>
          <w:szCs w:val="20"/>
        </w:rPr>
        <w:t xml:space="preserve">je </w:t>
      </w:r>
      <w:r w:rsidRPr="002A7ABA">
        <w:rPr>
          <w:rFonts w:cstheme="minorHAnsi"/>
          <w:color w:val="F13741"/>
          <w:szCs w:val="20"/>
        </w:rPr>
        <w:t>Formulář pro druh výsledku Nmet;</w:t>
      </w:r>
    </w:p>
    <w:p w14:paraId="24D56634" w14:textId="77777777" w:rsidR="00853E18" w:rsidRPr="002A7ABA" w:rsidRDefault="00853E18" w:rsidP="002A7AB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F13741"/>
          <w:szCs w:val="20"/>
        </w:rPr>
      </w:pPr>
      <w:r w:rsidRPr="002A7ABA">
        <w:rPr>
          <w:rFonts w:cstheme="minorHAnsi"/>
          <w:b/>
          <w:bCs/>
          <w:color w:val="000000"/>
          <w:szCs w:val="20"/>
        </w:rPr>
        <w:t xml:space="preserve">NmetC </w:t>
      </w:r>
      <w:r w:rsidRPr="002A7ABA">
        <w:rPr>
          <w:rFonts w:cstheme="minorHAnsi"/>
          <w:color w:val="000000"/>
          <w:szCs w:val="20"/>
        </w:rPr>
        <w:t xml:space="preserve">– metodika certifikovaná oprávněným orgánem – </w:t>
      </w:r>
      <w:r w:rsidRPr="002A7ABA">
        <w:rPr>
          <w:rFonts w:cstheme="minorHAnsi"/>
          <w:b/>
          <w:bCs/>
          <w:color w:val="000000"/>
          <w:szCs w:val="20"/>
        </w:rPr>
        <w:t xml:space="preserve">povinnou přílohou </w:t>
      </w:r>
      <w:r w:rsidRPr="002A7ABA">
        <w:rPr>
          <w:rFonts w:cstheme="minorHAnsi"/>
          <w:color w:val="000000"/>
          <w:szCs w:val="20"/>
        </w:rPr>
        <w:t xml:space="preserve">je </w:t>
      </w:r>
      <w:r w:rsidRPr="002A7ABA">
        <w:rPr>
          <w:rFonts w:cstheme="minorHAnsi"/>
          <w:color w:val="F13741"/>
          <w:szCs w:val="20"/>
        </w:rPr>
        <w:t>Formulář pro</w:t>
      </w:r>
    </w:p>
    <w:p w14:paraId="29BEB175" w14:textId="77777777" w:rsidR="00853E18" w:rsidRPr="002A7ABA" w:rsidRDefault="00853E18" w:rsidP="002A7AB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F13741"/>
          <w:szCs w:val="20"/>
        </w:rPr>
      </w:pPr>
      <w:r w:rsidRPr="002A7ABA">
        <w:rPr>
          <w:rFonts w:cstheme="minorHAnsi"/>
          <w:color w:val="F13741"/>
          <w:szCs w:val="20"/>
        </w:rPr>
        <w:t>druh výsledku Nmet;</w:t>
      </w:r>
    </w:p>
    <w:p w14:paraId="13AAA3CF" w14:textId="77777777" w:rsidR="00853E18" w:rsidRPr="002A7ABA" w:rsidRDefault="00853E18" w:rsidP="002A7AB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2A7ABA">
        <w:rPr>
          <w:rFonts w:cstheme="minorHAnsi"/>
          <w:b/>
          <w:bCs/>
          <w:color w:val="000000"/>
          <w:szCs w:val="20"/>
        </w:rPr>
        <w:t xml:space="preserve">NmetS </w:t>
      </w:r>
      <w:r w:rsidRPr="002A7ABA">
        <w:rPr>
          <w:rFonts w:cstheme="minorHAnsi"/>
          <w:color w:val="000000"/>
          <w:szCs w:val="20"/>
        </w:rPr>
        <w:t>– metodika schválená příslušným orgánem státní správy, do jehož kompetence daná</w:t>
      </w:r>
    </w:p>
    <w:p w14:paraId="145AE88F" w14:textId="77777777" w:rsidR="00853E18" w:rsidRPr="002A7ABA" w:rsidRDefault="00853E18" w:rsidP="002A7AB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F13741"/>
          <w:szCs w:val="20"/>
        </w:rPr>
      </w:pPr>
      <w:r w:rsidRPr="002A7ABA">
        <w:rPr>
          <w:rFonts w:cstheme="minorHAnsi"/>
          <w:color w:val="000000"/>
          <w:szCs w:val="20"/>
        </w:rPr>
        <w:t xml:space="preserve">problematika spadá – </w:t>
      </w:r>
      <w:r w:rsidRPr="002A7ABA">
        <w:rPr>
          <w:rFonts w:cstheme="minorHAnsi"/>
          <w:b/>
          <w:bCs/>
          <w:color w:val="000000"/>
          <w:szCs w:val="20"/>
        </w:rPr>
        <w:t xml:space="preserve">povinnou přílohou je </w:t>
      </w:r>
      <w:r w:rsidRPr="002A7ABA">
        <w:rPr>
          <w:rFonts w:cstheme="minorHAnsi"/>
          <w:color w:val="F13741"/>
          <w:szCs w:val="20"/>
        </w:rPr>
        <w:t xml:space="preserve">Formulář pro druh výsledku Nmet </w:t>
      </w:r>
      <w:r w:rsidRPr="002A7ABA">
        <w:rPr>
          <w:rFonts w:cstheme="minorHAnsi"/>
          <w:b/>
          <w:bCs/>
          <w:color w:val="000000"/>
          <w:szCs w:val="20"/>
        </w:rPr>
        <w:t xml:space="preserve">nebo </w:t>
      </w:r>
      <w:r w:rsidRPr="002A7ABA">
        <w:rPr>
          <w:rFonts w:cstheme="minorHAnsi"/>
          <w:color w:val="F13741"/>
          <w:szCs w:val="20"/>
        </w:rPr>
        <w:t>Formulář pro</w:t>
      </w:r>
    </w:p>
    <w:p w14:paraId="7E987DCD" w14:textId="77777777" w:rsidR="00853E18" w:rsidRPr="002A7ABA" w:rsidRDefault="00853E18" w:rsidP="002A7AB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2A7ABA">
        <w:rPr>
          <w:rFonts w:cstheme="minorHAnsi"/>
          <w:color w:val="F13741"/>
          <w:szCs w:val="20"/>
        </w:rPr>
        <w:t>druh výsledku NmetS - MD</w:t>
      </w:r>
      <w:r w:rsidRPr="002A7ABA">
        <w:rPr>
          <w:rFonts w:cstheme="minorHAnsi"/>
          <w:color w:val="000000"/>
          <w:szCs w:val="20"/>
        </w:rPr>
        <w:t>;</w:t>
      </w:r>
    </w:p>
    <w:p w14:paraId="3B1F2918" w14:textId="77777777" w:rsidR="00853E18" w:rsidRPr="002A7ABA" w:rsidRDefault="00853E18" w:rsidP="002A7AB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2A7ABA">
        <w:rPr>
          <w:rFonts w:cstheme="minorHAnsi"/>
          <w:b/>
          <w:bCs/>
          <w:color w:val="000000"/>
          <w:szCs w:val="20"/>
        </w:rPr>
        <w:t xml:space="preserve">Nmap </w:t>
      </w:r>
      <w:r w:rsidRPr="002A7ABA">
        <w:rPr>
          <w:rFonts w:cstheme="minorHAnsi"/>
          <w:color w:val="000000"/>
          <w:szCs w:val="20"/>
        </w:rPr>
        <w:t>– specializovaná mapa s odborným obsahem;</w:t>
      </w:r>
    </w:p>
    <w:p w14:paraId="35784EDE" w14:textId="77777777" w:rsidR="00853E18" w:rsidRPr="002A7ABA" w:rsidRDefault="00853E18" w:rsidP="002A7AB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2A7ABA">
        <w:rPr>
          <w:rFonts w:cstheme="minorHAnsi"/>
          <w:b/>
          <w:bCs/>
          <w:color w:val="000000"/>
          <w:szCs w:val="20"/>
        </w:rPr>
        <w:t xml:space="preserve">P </w:t>
      </w:r>
      <w:r w:rsidRPr="002A7ABA">
        <w:rPr>
          <w:rFonts w:cstheme="minorHAnsi"/>
          <w:color w:val="000000"/>
          <w:szCs w:val="20"/>
        </w:rPr>
        <w:t>– patent – povinnou přílohou je patentová rešerše</w:t>
      </w:r>
      <w:r w:rsidRPr="002A7ABA">
        <w:rPr>
          <w:rFonts w:cstheme="minorHAnsi"/>
          <w:color w:val="000000"/>
          <w:sz w:val="14"/>
          <w:szCs w:val="12"/>
        </w:rPr>
        <w:t>3</w:t>
      </w:r>
      <w:r w:rsidRPr="002A7ABA">
        <w:rPr>
          <w:rFonts w:cstheme="minorHAnsi"/>
          <w:color w:val="000000"/>
          <w:szCs w:val="20"/>
        </w:rPr>
        <w:t>;</w:t>
      </w:r>
    </w:p>
    <w:p w14:paraId="6376699F" w14:textId="77777777" w:rsidR="00853E18" w:rsidRPr="002A7ABA" w:rsidRDefault="00853E18" w:rsidP="002A7AB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2A7ABA">
        <w:rPr>
          <w:rFonts w:cstheme="minorHAnsi"/>
          <w:b/>
          <w:bCs/>
          <w:color w:val="000000"/>
          <w:szCs w:val="20"/>
        </w:rPr>
        <w:t xml:space="preserve">R </w:t>
      </w:r>
      <w:r w:rsidRPr="002A7ABA">
        <w:rPr>
          <w:rFonts w:cstheme="minorHAnsi"/>
          <w:color w:val="000000"/>
          <w:szCs w:val="20"/>
        </w:rPr>
        <w:t>– software;</w:t>
      </w:r>
    </w:p>
    <w:p w14:paraId="50BEE3D5" w14:textId="77777777" w:rsidR="00853E18" w:rsidRPr="002A7ABA" w:rsidRDefault="00853E18" w:rsidP="002A7AB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2A7ABA">
        <w:rPr>
          <w:rFonts w:cstheme="minorHAnsi"/>
          <w:b/>
          <w:bCs/>
          <w:color w:val="000000"/>
          <w:szCs w:val="20"/>
        </w:rPr>
        <w:t xml:space="preserve">S </w:t>
      </w:r>
      <w:r w:rsidRPr="002A7ABA">
        <w:rPr>
          <w:rFonts w:cstheme="minorHAnsi"/>
          <w:color w:val="000000"/>
          <w:szCs w:val="20"/>
        </w:rPr>
        <w:t>– specializovaná veřejná databáze;</w:t>
      </w:r>
    </w:p>
    <w:p w14:paraId="463751DF" w14:textId="77777777" w:rsidR="00853E18" w:rsidRPr="002A7ABA" w:rsidRDefault="00853E18" w:rsidP="002A7AB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2A7ABA">
        <w:rPr>
          <w:rFonts w:cstheme="minorHAnsi"/>
          <w:b/>
          <w:bCs/>
          <w:color w:val="000000"/>
          <w:szCs w:val="20"/>
        </w:rPr>
        <w:t xml:space="preserve">Zpolop </w:t>
      </w:r>
      <w:r w:rsidRPr="002A7ABA">
        <w:rPr>
          <w:rFonts w:cstheme="minorHAnsi"/>
          <w:color w:val="000000"/>
          <w:szCs w:val="20"/>
        </w:rPr>
        <w:t>– poloprovoz;</w:t>
      </w:r>
    </w:p>
    <w:p w14:paraId="534CBCA4" w14:textId="77777777" w:rsidR="002A7ABA" w:rsidRDefault="00853E18" w:rsidP="002A7AB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2A7ABA">
        <w:rPr>
          <w:rFonts w:cstheme="minorHAnsi"/>
          <w:b/>
          <w:bCs/>
          <w:color w:val="000000"/>
          <w:szCs w:val="20"/>
        </w:rPr>
        <w:t xml:space="preserve">Ztech </w:t>
      </w:r>
      <w:r w:rsidRPr="002A7ABA">
        <w:rPr>
          <w:rFonts w:cstheme="minorHAnsi"/>
          <w:color w:val="000000"/>
          <w:szCs w:val="20"/>
        </w:rPr>
        <w:t>– ověřená technologie;</w:t>
      </w:r>
    </w:p>
    <w:p w14:paraId="41EDB73F" w14:textId="77777777" w:rsidR="007E344D" w:rsidRPr="002A7ABA" w:rsidRDefault="002A7ABA" w:rsidP="002A7AB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>
        <w:rPr>
          <w:rFonts w:cstheme="minorHAnsi"/>
          <w:b/>
          <w:bCs/>
          <w:color w:val="000000"/>
          <w:szCs w:val="20"/>
        </w:rPr>
        <w:t xml:space="preserve">O </w:t>
      </w:r>
      <w:r w:rsidRPr="002A7ABA">
        <w:rPr>
          <w:rFonts w:cstheme="minorHAnsi"/>
          <w:color w:val="000000"/>
          <w:szCs w:val="20"/>
        </w:rPr>
        <w:t>-</w:t>
      </w:r>
      <w:r w:rsidR="00853E18" w:rsidRPr="002A7ABA">
        <w:rPr>
          <w:rFonts w:cstheme="minorHAnsi"/>
          <w:color w:val="000000"/>
          <w:szCs w:val="20"/>
        </w:rPr>
        <w:t xml:space="preserve"> ostatní výsledky.</w:t>
      </w:r>
    </w:p>
    <w:p w14:paraId="579BB34B" w14:textId="77777777" w:rsidR="002A7ABA" w:rsidRDefault="002A7ABA" w:rsidP="002A7ABA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</w:p>
    <w:p w14:paraId="0B3A220F" w14:textId="77777777" w:rsidR="007D5F3E" w:rsidRPr="002A7ABA" w:rsidRDefault="007D5F3E" w:rsidP="002A7ABA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2A7ABA">
        <w:rPr>
          <w:rFonts w:cstheme="minorHAnsi"/>
          <w:szCs w:val="20"/>
        </w:rPr>
        <w:t>Uchazeči musí doložit povinné přílohy jako součást návrhu projektu k příslušnému výsledku</w:t>
      </w:r>
    </w:p>
    <w:p w14:paraId="50395CCF" w14:textId="77777777" w:rsidR="007D5F3E" w:rsidRPr="002A7ABA" w:rsidRDefault="007D5F3E" w:rsidP="002A7ABA">
      <w:pPr>
        <w:spacing w:after="0"/>
        <w:rPr>
          <w:rFonts w:cstheme="minorHAnsi"/>
          <w:sz w:val="28"/>
          <w:highlight w:val="yellow"/>
        </w:rPr>
      </w:pPr>
      <w:r w:rsidRPr="002A7ABA">
        <w:rPr>
          <w:rFonts w:cstheme="minorHAnsi"/>
          <w:szCs w:val="20"/>
        </w:rPr>
        <w:t>do záložky 5. VÝSTUPY/VÝSLEDKY.</w:t>
      </w:r>
    </w:p>
    <w:p w14:paraId="43AA565A" w14:textId="77777777" w:rsidR="007D5F3E" w:rsidRPr="002A7ABA" w:rsidRDefault="007D5F3E" w:rsidP="002A7ABA">
      <w:pPr>
        <w:spacing w:after="0"/>
        <w:rPr>
          <w:rFonts w:cstheme="minorHAnsi"/>
          <w:sz w:val="24"/>
          <w:highlight w:val="yellow"/>
        </w:rPr>
      </w:pPr>
    </w:p>
    <w:p w14:paraId="78BF9CC6" w14:textId="77777777" w:rsidR="002A7ABA" w:rsidRDefault="002A7ABA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</w:p>
    <w:p w14:paraId="69EE4F37" w14:textId="77777777" w:rsidR="00D66035" w:rsidRPr="002A7ABA" w:rsidRDefault="00D66035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2A7ABA">
        <w:rPr>
          <w:rFonts w:cstheme="minorHAnsi"/>
          <w:b/>
          <w:color w:val="1F4E79" w:themeColor="accent1" w:themeShade="80"/>
          <w:sz w:val="28"/>
          <w:szCs w:val="28"/>
        </w:rPr>
        <w:t>Aplikační garant:</w:t>
      </w:r>
    </w:p>
    <w:p w14:paraId="7661D169" w14:textId="77777777" w:rsidR="0057770F" w:rsidRPr="002A7ABA" w:rsidRDefault="00924939" w:rsidP="002A7A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2A7ABA">
        <w:rPr>
          <w:rFonts w:cstheme="minorHAnsi"/>
          <w:szCs w:val="20"/>
        </w:rPr>
        <w:t xml:space="preserve">V každém návrhu projektu </w:t>
      </w:r>
      <w:r w:rsidRPr="002A7ABA">
        <w:rPr>
          <w:rFonts w:cstheme="minorHAnsi"/>
          <w:b/>
          <w:bCs/>
          <w:szCs w:val="20"/>
        </w:rPr>
        <w:t xml:space="preserve">musí být alespoň jeden aplikační garant </w:t>
      </w:r>
      <w:r w:rsidRPr="002A7ABA">
        <w:rPr>
          <w:rFonts w:cstheme="minorHAnsi"/>
          <w:szCs w:val="20"/>
        </w:rPr>
        <w:t>se sídlem v České republice.</w:t>
      </w:r>
      <w:r w:rsidRPr="002A7ABA">
        <w:rPr>
          <w:rFonts w:cstheme="minorHAnsi"/>
          <w:b/>
          <w:bCs/>
          <w:szCs w:val="20"/>
        </w:rPr>
        <w:t xml:space="preserve"> Každý subjekt </w:t>
      </w:r>
      <w:r w:rsidRPr="002A7ABA">
        <w:rPr>
          <w:rFonts w:cstheme="minorHAnsi"/>
          <w:szCs w:val="20"/>
        </w:rPr>
        <w:t xml:space="preserve">plnící roli aplikačního garanta </w:t>
      </w:r>
      <w:r w:rsidRPr="002A7ABA">
        <w:rPr>
          <w:rFonts w:cstheme="minorHAnsi"/>
          <w:b/>
          <w:bCs/>
          <w:szCs w:val="20"/>
        </w:rPr>
        <w:t xml:space="preserve">musí splňovat podmínky </w:t>
      </w:r>
      <w:r w:rsidRPr="002A7ABA">
        <w:rPr>
          <w:rFonts w:cstheme="minorHAnsi"/>
          <w:szCs w:val="20"/>
        </w:rPr>
        <w:t xml:space="preserve">dané touto zadávací dokumentací, tyto podmínky musí být splněny po celou dobu trvání řešení projektu. </w:t>
      </w:r>
      <w:r w:rsidRPr="002A7ABA">
        <w:rPr>
          <w:rFonts w:cstheme="minorHAnsi"/>
          <w:color w:val="000000"/>
          <w:szCs w:val="20"/>
        </w:rPr>
        <w:t xml:space="preserve">Součástí dokumentů k vyhlášené veřejné soutěži je </w:t>
      </w:r>
      <w:hyperlink r:id="rId15" w:history="1">
        <w:r w:rsidRPr="002A7ABA">
          <w:rPr>
            <w:rStyle w:val="Hypertextovodkaz"/>
            <w:rFonts w:cstheme="minorHAnsi"/>
            <w:szCs w:val="20"/>
          </w:rPr>
          <w:t>příručka aplikační garant</w:t>
        </w:r>
      </w:hyperlink>
      <w:r w:rsidRPr="002A7ABA">
        <w:rPr>
          <w:rFonts w:cstheme="minorHAnsi"/>
          <w:color w:val="000000"/>
          <w:szCs w:val="20"/>
        </w:rPr>
        <w:t>, kde jsou uvedeny</w:t>
      </w:r>
      <w:r w:rsidRPr="002A7ABA">
        <w:rPr>
          <w:rFonts w:cstheme="minorHAnsi"/>
          <w:szCs w:val="20"/>
        </w:rPr>
        <w:t xml:space="preserve"> </w:t>
      </w:r>
      <w:r w:rsidRPr="002A7ABA">
        <w:rPr>
          <w:rFonts w:cstheme="minorHAnsi"/>
          <w:color w:val="000000"/>
          <w:szCs w:val="20"/>
        </w:rPr>
        <w:t>obecné informace a skutečnosti týkající se aplikačního garanta.</w:t>
      </w:r>
    </w:p>
    <w:p w14:paraId="21ABA095" w14:textId="77777777" w:rsidR="002A7ABA" w:rsidRDefault="002A7ABA" w:rsidP="002A7A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3C3C49" w14:textId="77777777" w:rsidR="00924939" w:rsidRPr="002A7ABA" w:rsidRDefault="00924939" w:rsidP="002A7A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7ABA">
        <w:rPr>
          <w:rFonts w:cstheme="minorHAnsi"/>
        </w:rPr>
        <w:t>Aplikačních garantů může být i více, v takovém případě se pak během hodnocení bude posuzovat</w:t>
      </w:r>
    </w:p>
    <w:p w14:paraId="31E1934A" w14:textId="77777777" w:rsidR="00924939" w:rsidRPr="002A7ABA" w:rsidRDefault="00924939" w:rsidP="002A7A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7ABA">
        <w:rPr>
          <w:rFonts w:cstheme="minorHAnsi"/>
        </w:rPr>
        <w:t>vhodnost, způsob a míra zapojení u všech uvedených aplikačních garantů.</w:t>
      </w:r>
    </w:p>
    <w:p w14:paraId="35DC3E66" w14:textId="77777777" w:rsidR="00924939" w:rsidRPr="002A7ABA" w:rsidRDefault="00924939" w:rsidP="002A7A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D529197" w14:textId="77777777" w:rsidR="00924939" w:rsidRPr="002A7ABA" w:rsidRDefault="00924939" w:rsidP="002A7A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A7ABA">
        <w:rPr>
          <w:rFonts w:cstheme="minorHAnsi"/>
          <w:b/>
        </w:rPr>
        <w:t>Interní aplikační garant (uchazeč, který současně vykonává roli aplikačního garanta) může být:</w:t>
      </w:r>
    </w:p>
    <w:p w14:paraId="43A83315" w14:textId="77777777" w:rsidR="00924939" w:rsidRPr="002A7ABA" w:rsidRDefault="00924939" w:rsidP="002A7ABA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7ABA">
        <w:rPr>
          <w:rFonts w:cstheme="minorHAnsi"/>
        </w:rPr>
        <w:t>podnik;</w:t>
      </w:r>
    </w:p>
    <w:p w14:paraId="26BC95AE" w14:textId="77777777" w:rsidR="00924939" w:rsidRPr="002A7ABA" w:rsidRDefault="00924939" w:rsidP="002A7ABA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7ABA">
        <w:rPr>
          <w:rFonts w:cstheme="minorHAnsi"/>
        </w:rPr>
        <w:t>výzkumná organizace;</w:t>
      </w:r>
    </w:p>
    <w:p w14:paraId="2BC70104" w14:textId="77777777" w:rsidR="00924939" w:rsidRPr="002A7ABA" w:rsidRDefault="00924939" w:rsidP="002A7ABA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7ABA">
        <w:rPr>
          <w:rFonts w:cstheme="minorHAnsi"/>
        </w:rPr>
        <w:t>organizační složka státu;</w:t>
      </w:r>
    </w:p>
    <w:p w14:paraId="0C7EB0E7" w14:textId="77777777" w:rsidR="00924939" w:rsidRPr="002A7ABA" w:rsidRDefault="00924939" w:rsidP="002A7ABA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7ABA">
        <w:rPr>
          <w:rFonts w:cstheme="minorHAnsi"/>
        </w:rPr>
        <w:t>územní samosprávný celek.</w:t>
      </w:r>
    </w:p>
    <w:p w14:paraId="7355351A" w14:textId="77777777" w:rsidR="00924939" w:rsidRPr="002A7ABA" w:rsidRDefault="00924939" w:rsidP="002A7ABA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7ABA">
        <w:rPr>
          <w:rFonts w:cstheme="minorHAnsi"/>
        </w:rPr>
        <w:t>Interní aplikační garant nemusí dokládat žádnou povinnou přílohu.</w:t>
      </w:r>
    </w:p>
    <w:p w14:paraId="26E32693" w14:textId="77777777" w:rsidR="00924939" w:rsidRPr="002A7ABA" w:rsidRDefault="00924939" w:rsidP="002A7A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34BA041" w14:textId="77777777" w:rsidR="00924939" w:rsidRPr="002A7ABA" w:rsidRDefault="00924939" w:rsidP="002A7A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A7ABA">
        <w:rPr>
          <w:rFonts w:cstheme="minorHAnsi"/>
          <w:b/>
        </w:rPr>
        <w:t>Externí aplikační garant může být:</w:t>
      </w:r>
    </w:p>
    <w:p w14:paraId="374FC910" w14:textId="77777777" w:rsidR="00924939" w:rsidRPr="002A7ABA" w:rsidRDefault="00924939" w:rsidP="002A7AB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7ABA">
        <w:rPr>
          <w:rFonts w:cstheme="minorHAnsi"/>
        </w:rPr>
        <w:t>výzkumná organizace;</w:t>
      </w:r>
    </w:p>
    <w:p w14:paraId="0AE13093" w14:textId="77777777" w:rsidR="00924939" w:rsidRPr="002A7ABA" w:rsidRDefault="00924939" w:rsidP="002A7AB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7ABA">
        <w:rPr>
          <w:rFonts w:cstheme="minorHAnsi"/>
        </w:rPr>
        <w:t>územní samosprávný celek;</w:t>
      </w:r>
    </w:p>
    <w:p w14:paraId="7C112EFF" w14:textId="77777777" w:rsidR="00924939" w:rsidRPr="002A7ABA" w:rsidRDefault="00924939" w:rsidP="002A7AB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7ABA">
        <w:rPr>
          <w:rFonts w:cstheme="minorHAnsi"/>
        </w:rPr>
        <w:t>organizační složka státu;</w:t>
      </w:r>
    </w:p>
    <w:p w14:paraId="3A44E44C" w14:textId="77777777" w:rsidR="00924939" w:rsidRPr="002A7ABA" w:rsidRDefault="00924939" w:rsidP="002A7AB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7ABA">
        <w:rPr>
          <w:rFonts w:cstheme="minorHAnsi"/>
        </w:rPr>
        <w:t>právnická osoba dle zákona č. 561/2004 Sb., o předškolním, základním, středním, vyšším</w:t>
      </w:r>
    </w:p>
    <w:p w14:paraId="7FF71498" w14:textId="77777777" w:rsidR="00924939" w:rsidRPr="002A7ABA" w:rsidRDefault="00924939" w:rsidP="002A7AB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7ABA">
        <w:rPr>
          <w:rFonts w:cstheme="minorHAnsi"/>
        </w:rPr>
        <w:t>odborném a jiném vzdělávání (školský zákon), a to dle ust. § 124 odst. odst. 2 písm. a)</w:t>
      </w:r>
    </w:p>
    <w:p w14:paraId="44DDF504" w14:textId="77777777" w:rsidR="00924939" w:rsidRPr="002A7ABA" w:rsidRDefault="00924939" w:rsidP="002A7AB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7ABA">
        <w:rPr>
          <w:rFonts w:cstheme="minorHAnsi"/>
        </w:rPr>
        <w:t>jiná právnická osoba, pokud nenaplňuje definici podniku (např. příspěvková organizace,</w:t>
      </w:r>
    </w:p>
    <w:p w14:paraId="120D8694" w14:textId="77777777" w:rsidR="00FE3CFC" w:rsidRPr="002A7ABA" w:rsidRDefault="00924939" w:rsidP="002A7AB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2A7ABA">
        <w:rPr>
          <w:rFonts w:cstheme="minorHAnsi"/>
          <w:szCs w:val="20"/>
        </w:rPr>
        <w:t>státní organizace).</w:t>
      </w:r>
    </w:p>
    <w:p w14:paraId="2BF0935D" w14:textId="77777777" w:rsidR="00924939" w:rsidRPr="002A7ABA" w:rsidRDefault="00924939" w:rsidP="002A7A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</w:p>
    <w:p w14:paraId="47522815" w14:textId="77777777" w:rsidR="00924939" w:rsidRDefault="00924939" w:rsidP="002A7ABA">
      <w:pPr>
        <w:spacing w:after="0"/>
        <w:rPr>
          <w:rFonts w:cstheme="minorHAnsi"/>
          <w:szCs w:val="20"/>
        </w:rPr>
      </w:pPr>
      <w:r w:rsidRPr="002A7ABA">
        <w:rPr>
          <w:rFonts w:cstheme="minorHAnsi"/>
          <w:b/>
          <w:szCs w:val="20"/>
        </w:rPr>
        <w:t>Za každého externího aplikačního garanta musí uchazeči přiložit povinnou přílohu, která prokáže zájem aplikačního garanta o výstupy/výsledky návrhu projektu.</w:t>
      </w:r>
      <w:r w:rsidRPr="002A7ABA">
        <w:rPr>
          <w:rFonts w:cstheme="minorHAnsi"/>
          <w:szCs w:val="20"/>
        </w:rPr>
        <w:t xml:space="preserve"> Tato příloha může mít formu např. Letter of Intent (dopis o záměru), smlouva o využití výsledků, smlouva o smlouvě budoucí, memorandum.</w:t>
      </w:r>
    </w:p>
    <w:p w14:paraId="35D88A8A" w14:textId="77777777" w:rsidR="002A7ABA" w:rsidRPr="002A7ABA" w:rsidRDefault="002A7ABA" w:rsidP="002A7ABA">
      <w:pPr>
        <w:spacing w:after="0"/>
        <w:rPr>
          <w:rFonts w:cstheme="minorHAnsi"/>
          <w:szCs w:val="20"/>
        </w:rPr>
      </w:pPr>
    </w:p>
    <w:p w14:paraId="4F47B2F6" w14:textId="77777777" w:rsidR="00924939" w:rsidRPr="002A7ABA" w:rsidRDefault="00924939" w:rsidP="002A7ABA">
      <w:pPr>
        <w:spacing w:after="0"/>
        <w:rPr>
          <w:rFonts w:cstheme="minorHAnsi"/>
          <w:szCs w:val="20"/>
        </w:rPr>
      </w:pPr>
      <w:r w:rsidRPr="002A7ABA">
        <w:rPr>
          <w:rFonts w:cstheme="minorHAnsi"/>
          <w:szCs w:val="20"/>
        </w:rPr>
        <w:t>Přílohy k aplikačním garantům vkládejte do záložky 8. PŘÍLOHY ZA PROJEKT (náležitosti, která</w:t>
      </w:r>
    </w:p>
    <w:p w14:paraId="0CA9779D" w14:textId="77777777" w:rsidR="00924939" w:rsidRPr="002A7ABA" w:rsidRDefault="00924939" w:rsidP="002A7ABA">
      <w:pPr>
        <w:spacing w:after="0"/>
        <w:rPr>
          <w:rFonts w:cstheme="minorHAnsi"/>
          <w:szCs w:val="20"/>
        </w:rPr>
      </w:pPr>
      <w:r w:rsidRPr="002A7ABA">
        <w:rPr>
          <w:rFonts w:cstheme="minorHAnsi"/>
          <w:szCs w:val="20"/>
        </w:rPr>
        <w:t>tato příloha musí obsahovat, jsou uvedeny v příručce - Aplikační garant).</w:t>
      </w:r>
    </w:p>
    <w:p w14:paraId="5C5E7942" w14:textId="77777777" w:rsidR="00924939" w:rsidRPr="002A7ABA" w:rsidRDefault="00924939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</w:p>
    <w:p w14:paraId="2F5EADCC" w14:textId="77777777" w:rsidR="00894BEB" w:rsidRPr="002A7ABA" w:rsidRDefault="00894BEB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2A7ABA">
        <w:rPr>
          <w:rFonts w:cstheme="minorHAnsi"/>
          <w:b/>
          <w:color w:val="1F4E79" w:themeColor="accent1" w:themeShade="80"/>
          <w:sz w:val="28"/>
          <w:szCs w:val="28"/>
        </w:rPr>
        <w:t>Způsob podání návrhů projektů:</w:t>
      </w:r>
    </w:p>
    <w:p w14:paraId="5E3E3643" w14:textId="77777777" w:rsidR="00894BEB" w:rsidRPr="002A7ABA" w:rsidRDefault="00894BEB" w:rsidP="002A7ABA">
      <w:pPr>
        <w:spacing w:after="0"/>
        <w:rPr>
          <w:rFonts w:cstheme="minorHAnsi"/>
          <w:b/>
        </w:rPr>
      </w:pPr>
      <w:r w:rsidRPr="002A7ABA">
        <w:rPr>
          <w:rFonts w:cstheme="minorHAnsi"/>
          <w:b/>
        </w:rPr>
        <w:t xml:space="preserve">Webový portál ISTA </w:t>
      </w:r>
      <w:hyperlink r:id="rId16" w:history="1">
        <w:r w:rsidR="004E2A66" w:rsidRPr="002A7ABA">
          <w:rPr>
            <w:rStyle w:val="Hypertextovodkaz"/>
            <w:rFonts w:cstheme="minorHAnsi"/>
          </w:rPr>
          <w:t>https://ista.tacr.cz/ISTA/action/Dashboard/ExternalNew/?actionId=4396311232625115&amp;ts=1618409983006&amp;hash=b+/wcP7Y8IGU1RkRhz37cXn5Y/ub2EB46M5pPdMyoEc=&amp;nbl=true&amp;uselastresult=true&amp;_browserSessionID=&amp;lang</w:t>
        </w:r>
      </w:hyperlink>
      <w:r w:rsidR="007E14F2" w:rsidRPr="002A7ABA">
        <w:rPr>
          <w:rFonts w:cstheme="minorHAnsi"/>
        </w:rPr>
        <w:t xml:space="preserve">= </w:t>
      </w:r>
    </w:p>
    <w:p w14:paraId="13B4894D" w14:textId="77777777" w:rsidR="00894BEB" w:rsidRPr="002A7ABA" w:rsidRDefault="00894BEB" w:rsidP="002A7ABA">
      <w:pPr>
        <w:spacing w:after="0"/>
        <w:rPr>
          <w:rFonts w:cstheme="minorHAnsi"/>
          <w:b/>
        </w:rPr>
      </w:pPr>
    </w:p>
    <w:p w14:paraId="1004041A" w14:textId="77777777" w:rsidR="00894BEB" w:rsidRPr="002A7ABA" w:rsidRDefault="00894BEB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2A7ABA">
        <w:rPr>
          <w:rFonts w:cstheme="minorHAnsi"/>
          <w:b/>
          <w:color w:val="1F4E79" w:themeColor="accent1" w:themeShade="80"/>
          <w:sz w:val="28"/>
          <w:szCs w:val="28"/>
        </w:rPr>
        <w:t>Požadavky na způsobilost:</w:t>
      </w:r>
    </w:p>
    <w:p w14:paraId="051E049C" w14:textId="77777777" w:rsidR="007D5F3E" w:rsidRPr="002A7ABA" w:rsidRDefault="00894BEB" w:rsidP="002A7A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7ABA">
        <w:rPr>
          <w:rFonts w:cstheme="minorHAnsi"/>
        </w:rPr>
        <w:t>Čestné prohlášení za uchazeče</w:t>
      </w:r>
      <w:r w:rsidR="00C804E7" w:rsidRPr="002A7ABA">
        <w:rPr>
          <w:rFonts w:cstheme="minorHAnsi"/>
        </w:rPr>
        <w:t xml:space="preserve"> VUT</w:t>
      </w:r>
      <w:r w:rsidRPr="002A7ABA">
        <w:rPr>
          <w:rFonts w:cstheme="minorHAnsi"/>
        </w:rPr>
        <w:t xml:space="preserve"> – bude zajištěno rektorátem prostřednictvím datové schránky centrálně za všechny projekty ve lhůtě stanovené poskytovatelem.</w:t>
      </w:r>
      <w:r w:rsidR="007E344D" w:rsidRPr="002A7ABA">
        <w:rPr>
          <w:rFonts w:cstheme="minorHAnsi"/>
        </w:rPr>
        <w:t xml:space="preserve"> </w:t>
      </w:r>
    </w:p>
    <w:p w14:paraId="6BA379C2" w14:textId="77777777" w:rsidR="007D5F3E" w:rsidRPr="002A7ABA" w:rsidRDefault="007D5F3E" w:rsidP="002A7AB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A7ABA">
        <w:rPr>
          <w:rFonts w:cstheme="minorHAnsi"/>
        </w:rPr>
        <w:t>Všichni uchazeči musí zaslat ČP o prokázání způsobilosti uchazeče ze své datové schránky a v kolonce Věc musí být uvedeno</w:t>
      </w:r>
      <w:r w:rsidRPr="002A7ABA">
        <w:rPr>
          <w:rFonts w:cstheme="minorHAnsi"/>
          <w:b/>
        </w:rPr>
        <w:t xml:space="preserve">: </w:t>
      </w:r>
      <w:r w:rsidR="00C4569A" w:rsidRPr="002A7ABA">
        <w:rPr>
          <w:rFonts w:cstheme="minorHAnsi"/>
          <w:b/>
        </w:rPr>
        <w:t>„</w:t>
      </w:r>
      <w:r w:rsidRPr="002A7ABA">
        <w:rPr>
          <w:rFonts w:cstheme="minorHAnsi"/>
          <w:b/>
          <w:bCs/>
        </w:rPr>
        <w:t>1. veřejná soutěž programu DOPRAVA 2030 – Prokázání způsobilosti</w:t>
      </w:r>
      <w:r w:rsidRPr="002A7ABA">
        <w:rPr>
          <w:rFonts w:cstheme="minorHAnsi"/>
          <w:b/>
        </w:rPr>
        <w:t>“.</w:t>
      </w:r>
      <w:r w:rsidRPr="002A7ABA">
        <w:rPr>
          <w:rFonts w:cstheme="minorHAnsi"/>
          <w:sz w:val="20"/>
          <w:szCs w:val="20"/>
        </w:rPr>
        <w:t xml:space="preserve"> </w:t>
      </w:r>
    </w:p>
    <w:p w14:paraId="7983044E" w14:textId="77777777" w:rsidR="007D5F3E" w:rsidRPr="002A7ABA" w:rsidRDefault="007D5F3E" w:rsidP="002A7A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4915DA" w14:textId="77777777" w:rsidR="00AD0BCF" w:rsidRPr="002A7ABA" w:rsidRDefault="00AD0BCF" w:rsidP="002A7AB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2A7ABA">
        <w:rPr>
          <w:rFonts w:cstheme="minorHAnsi"/>
        </w:rPr>
        <w:t>VUT splňuje povinnost zveřejnit účetní závěrku tím, že vydává výroční zprávu o hospodaření.</w:t>
      </w:r>
    </w:p>
    <w:p w14:paraId="38D82D3A" w14:textId="77777777" w:rsidR="007D5F3E" w:rsidRPr="002A7ABA" w:rsidRDefault="007D5F3E" w:rsidP="002A7ABA">
      <w:pPr>
        <w:spacing w:after="0"/>
        <w:rPr>
          <w:rFonts w:cstheme="minorHAnsi"/>
        </w:rPr>
      </w:pPr>
    </w:p>
    <w:p w14:paraId="584BEC86" w14:textId="77777777" w:rsidR="00894BEB" w:rsidRPr="002A7ABA" w:rsidRDefault="00760FE8" w:rsidP="002A7ABA">
      <w:pPr>
        <w:spacing w:after="0"/>
        <w:rPr>
          <w:rFonts w:cstheme="minorHAnsi"/>
        </w:rPr>
      </w:pPr>
      <w:r w:rsidRPr="002A7ABA">
        <w:rPr>
          <w:rFonts w:cstheme="minorHAnsi"/>
        </w:rPr>
        <w:lastRenderedPageBreak/>
        <w:t>V případě, že další účastník nemá datovou schránku, může čestné prohlášení poslat listině jako zahraniční další účastník, v tomto případě bude ČP podepsáno statutárním zástupcem.</w:t>
      </w:r>
    </w:p>
    <w:p w14:paraId="73BDC471" w14:textId="77777777" w:rsidR="002A7ABA" w:rsidRDefault="002A7ABA" w:rsidP="002A7ABA">
      <w:pPr>
        <w:spacing w:after="0"/>
        <w:jc w:val="both"/>
        <w:rPr>
          <w:rFonts w:cstheme="minorHAnsi"/>
          <w:b/>
        </w:rPr>
      </w:pPr>
    </w:p>
    <w:p w14:paraId="5226153E" w14:textId="77777777" w:rsidR="007D5F3E" w:rsidRPr="002A7ABA" w:rsidRDefault="007D5F3E" w:rsidP="002A7ABA">
      <w:pPr>
        <w:spacing w:after="0"/>
        <w:jc w:val="both"/>
        <w:rPr>
          <w:rFonts w:cstheme="minorHAnsi"/>
        </w:rPr>
      </w:pPr>
      <w:r w:rsidRPr="002A7ABA">
        <w:rPr>
          <w:rFonts w:cstheme="minorHAnsi"/>
        </w:rPr>
        <w:t>Uchazeči musí být zapsaní v evidenci skutečných majitelů. Pokud uchazeč není zapsán v evidenci skutečných majitelů do termínu konce soutěžní lhůty, tedy do 28. 6. 2023, nepřijme TA ČR návrh projektu do veřejné soutěže.</w:t>
      </w:r>
    </w:p>
    <w:p w14:paraId="1A09BE79" w14:textId="77777777" w:rsidR="00760FE8" w:rsidRPr="002A7ABA" w:rsidRDefault="00760FE8" w:rsidP="002A7ABA">
      <w:pPr>
        <w:spacing w:after="0"/>
        <w:rPr>
          <w:rFonts w:cstheme="minorHAnsi"/>
          <w:b/>
        </w:rPr>
      </w:pPr>
    </w:p>
    <w:p w14:paraId="02DCDE5C" w14:textId="77777777" w:rsidR="00924939" w:rsidRPr="002A7ABA" w:rsidRDefault="00924939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2A7ABA">
        <w:rPr>
          <w:rFonts w:cstheme="minorHAnsi"/>
          <w:b/>
          <w:color w:val="1F4E79" w:themeColor="accent1" w:themeShade="80"/>
          <w:sz w:val="28"/>
          <w:szCs w:val="28"/>
        </w:rPr>
        <w:t>Vymezení se vůči vlastním obdobným projektům</w:t>
      </w:r>
    </w:p>
    <w:p w14:paraId="6E4B1DF3" w14:textId="77777777" w:rsidR="00924939" w:rsidRPr="002A7ABA" w:rsidRDefault="00924939" w:rsidP="002A7A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7ABA">
        <w:rPr>
          <w:rFonts w:cstheme="minorHAnsi"/>
        </w:rPr>
        <w:t>Uchazeči (zejména v případě shody klíčové osoby v řešitelském týmu a v případě podobného</w:t>
      </w:r>
    </w:p>
    <w:p w14:paraId="52C8EBC3" w14:textId="77777777" w:rsidR="00924939" w:rsidRPr="002A7ABA" w:rsidRDefault="00924939" w:rsidP="002A7A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7ABA">
        <w:rPr>
          <w:rFonts w:cstheme="minorHAnsi"/>
        </w:rPr>
        <w:t>zaměření návrhu projektu) jsou povinni uvést vlastní:</w:t>
      </w:r>
    </w:p>
    <w:p w14:paraId="01098BC2" w14:textId="77777777" w:rsidR="00924939" w:rsidRPr="002A7ABA" w:rsidRDefault="00924939" w:rsidP="002A7ABA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7ABA">
        <w:rPr>
          <w:rFonts w:cstheme="minorHAnsi"/>
        </w:rPr>
        <w:t>ukončené projekty, pokud plánované výstupy/výsledky návrhu projektu na ně navazují,</w:t>
      </w:r>
    </w:p>
    <w:p w14:paraId="664344E0" w14:textId="77777777" w:rsidR="00924939" w:rsidRPr="002A7ABA" w:rsidRDefault="00924939" w:rsidP="002A7ABA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7ABA">
        <w:rPr>
          <w:rFonts w:cstheme="minorHAnsi"/>
        </w:rPr>
        <w:t>a tuto návaznost popsat;</w:t>
      </w:r>
    </w:p>
    <w:p w14:paraId="3DB63672" w14:textId="77777777" w:rsidR="00924939" w:rsidRPr="002A7ABA" w:rsidRDefault="00924939" w:rsidP="002A7ABA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7ABA">
        <w:rPr>
          <w:rFonts w:cstheme="minorHAnsi"/>
        </w:rPr>
        <w:t>aktuálně řešené související projekty a popsat odlišnosti mezi těmito projekty</w:t>
      </w:r>
    </w:p>
    <w:p w14:paraId="12537607" w14:textId="77777777" w:rsidR="00924939" w:rsidRPr="002A7ABA" w:rsidRDefault="00924939" w:rsidP="002A7ABA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7ABA">
        <w:rPr>
          <w:rFonts w:cstheme="minorHAnsi"/>
        </w:rPr>
        <w:t>s návrhem projektu podávaným do této veřejné soutěže;</w:t>
      </w:r>
    </w:p>
    <w:p w14:paraId="26E3B061" w14:textId="77777777" w:rsidR="00924939" w:rsidRPr="002A7ABA" w:rsidRDefault="00924939" w:rsidP="002A7ABA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7ABA">
        <w:rPr>
          <w:rFonts w:cstheme="minorHAnsi"/>
        </w:rPr>
        <w:t>návrhy projektů souběžně podávané do této či jiných veřejných soutěží, kdy by při</w:t>
      </w:r>
    </w:p>
    <w:p w14:paraId="07F237CF" w14:textId="77777777" w:rsidR="00924939" w:rsidRPr="002A7ABA" w:rsidRDefault="00924939" w:rsidP="002A7ABA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7ABA">
        <w:rPr>
          <w:rFonts w:cstheme="minorHAnsi"/>
        </w:rPr>
        <w:t>současném podpoření nedocházelo k dvojímu financování. V tomto případě je nutné</w:t>
      </w:r>
    </w:p>
    <w:p w14:paraId="7253A702" w14:textId="77777777" w:rsidR="00924939" w:rsidRPr="002A7ABA" w:rsidRDefault="00924939" w:rsidP="002A7ABA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7ABA">
        <w:rPr>
          <w:rFonts w:cstheme="minorHAnsi"/>
        </w:rPr>
        <w:t>popsat odlišnosti mezi těmito projekty;</w:t>
      </w:r>
    </w:p>
    <w:p w14:paraId="0E3AFB61" w14:textId="77777777" w:rsidR="00924939" w:rsidRPr="002A7ABA" w:rsidRDefault="00924939" w:rsidP="002A7ABA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7ABA">
        <w:rPr>
          <w:rFonts w:cstheme="minorHAnsi"/>
        </w:rPr>
        <w:t>návrhy projektů souběžně podávané do této či jiných veřejných soutěží, kdy by při</w:t>
      </w:r>
    </w:p>
    <w:p w14:paraId="07CA7143" w14:textId="77777777" w:rsidR="00924939" w:rsidRPr="002A7ABA" w:rsidRDefault="00924939" w:rsidP="002A7ABA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7ABA">
        <w:rPr>
          <w:rFonts w:cstheme="minorHAnsi"/>
        </w:rPr>
        <w:t>současném podpoření docházelo k dvojímu financování. V tomto případě je nutné uvést,</w:t>
      </w:r>
      <w:r w:rsidR="002A7ABA">
        <w:rPr>
          <w:rFonts w:cstheme="minorHAnsi"/>
        </w:rPr>
        <w:t xml:space="preserve"> </w:t>
      </w:r>
      <w:r w:rsidRPr="002A7ABA">
        <w:rPr>
          <w:rFonts w:cstheme="minorHAnsi"/>
        </w:rPr>
        <w:t>že bude uzavřena pouze jedna smlouva o poskytnutí podpory a tento závazek dodržet.</w:t>
      </w:r>
    </w:p>
    <w:p w14:paraId="7C67D394" w14:textId="77777777" w:rsidR="00924939" w:rsidRPr="002A7ABA" w:rsidRDefault="00924939" w:rsidP="002A7ABA">
      <w:pPr>
        <w:spacing w:after="0"/>
        <w:rPr>
          <w:rFonts w:cstheme="minorHAnsi"/>
          <w:b/>
        </w:rPr>
      </w:pPr>
    </w:p>
    <w:p w14:paraId="362CD678" w14:textId="77777777" w:rsidR="00924939" w:rsidRPr="002A7ABA" w:rsidRDefault="00924939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2A7ABA">
        <w:rPr>
          <w:rFonts w:cstheme="minorHAnsi"/>
          <w:b/>
          <w:color w:val="1F4E79" w:themeColor="accent1" w:themeShade="80"/>
          <w:sz w:val="28"/>
          <w:szCs w:val="28"/>
        </w:rPr>
        <w:t>Tematické vymezení návrhu projektu</w:t>
      </w:r>
    </w:p>
    <w:p w14:paraId="712C7D40" w14:textId="77777777" w:rsidR="00924939" w:rsidRPr="002A7ABA" w:rsidRDefault="00924939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2A7ABA">
        <w:rPr>
          <w:rFonts w:cstheme="minorHAnsi"/>
        </w:rPr>
        <w:t>Zařazení návrhu projektu do správné kategorie dané klasifikace slouží pro statistické a analytické účely a pro hodnocení vynakládání veřejných prostředků v oblasti vědy, výzkumu a inovací. Klasifikace je povinným krokem v procesu podávání návrhu projektu.</w:t>
      </w:r>
    </w:p>
    <w:p w14:paraId="52CE0147" w14:textId="77777777" w:rsidR="00924939" w:rsidRPr="002A7ABA" w:rsidRDefault="00924939" w:rsidP="002A7ABA">
      <w:pPr>
        <w:pStyle w:val="Odstavecseseznamem"/>
        <w:numPr>
          <w:ilvl w:val="0"/>
          <w:numId w:val="42"/>
        </w:numPr>
        <w:spacing w:after="0"/>
        <w:rPr>
          <w:rFonts w:cstheme="minorHAnsi"/>
          <w:b/>
        </w:rPr>
      </w:pPr>
      <w:r w:rsidRPr="002A7ABA">
        <w:rPr>
          <w:rFonts w:cstheme="minorHAnsi"/>
        </w:rPr>
        <w:t xml:space="preserve">Národní priority orientovaného výzkumu Uchazeči musí povinně zvolit jeden hlavní a žádný až dva vedlejší cíle z Národních priorit orientovaného výzkumu, experimentálního vývoje a inovací (NPOV) </w:t>
      </w:r>
    </w:p>
    <w:p w14:paraId="4413D28A" w14:textId="77777777" w:rsidR="00924939" w:rsidRPr="002A7ABA" w:rsidRDefault="00924939" w:rsidP="002A7ABA">
      <w:pPr>
        <w:pStyle w:val="Odstavecseseznamem"/>
        <w:numPr>
          <w:ilvl w:val="0"/>
          <w:numId w:val="42"/>
        </w:numPr>
        <w:spacing w:after="0"/>
        <w:rPr>
          <w:rFonts w:cstheme="minorHAnsi"/>
        </w:rPr>
      </w:pPr>
      <w:r w:rsidRPr="002A7ABA">
        <w:rPr>
          <w:rFonts w:cstheme="minorHAnsi"/>
        </w:rPr>
        <w:t>Obory CEP, FORD a TA ČR Uchazeči si v návrhu projektu povinně zvolí jeden hlavní, jeden vedlejší a jeden další vedlejší obor podle Centrální evidence projektů (CEP), Fields of Research and Development – Oblasti výzkumu a vývoje (FORD) a podle číselníku TA ČR. V této veřejné soutěži nemohou uchazeči jako hlavní obory zvolit:</w:t>
      </w:r>
    </w:p>
    <w:p w14:paraId="4780D87E" w14:textId="77777777" w:rsidR="00924939" w:rsidRPr="002A7ABA" w:rsidRDefault="00924939" w:rsidP="002A7ABA">
      <w:pPr>
        <w:pStyle w:val="Odstavecseseznamem"/>
        <w:numPr>
          <w:ilvl w:val="0"/>
          <w:numId w:val="42"/>
        </w:num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2A7ABA">
        <w:rPr>
          <w:rFonts w:cstheme="minorHAnsi"/>
        </w:rPr>
        <w:t xml:space="preserve">Národní RIS3 strategie Návrh projektu musí být v souladu s Národní výzkumnou a inovační strategií pro inteligentní specializaci České republiky 2021–2027 (Národní RIS3 strategií) na níže uvedených úrovních. Uchazeči v návrhu projektu popíší způsob naplnění Národní RIS3 strategie. </w:t>
      </w:r>
    </w:p>
    <w:p w14:paraId="34FE23E1" w14:textId="77777777" w:rsidR="00924939" w:rsidRPr="002A7ABA" w:rsidRDefault="00924939" w:rsidP="002A7ABA">
      <w:pPr>
        <w:spacing w:after="0"/>
        <w:rPr>
          <w:rFonts w:cstheme="minorHAnsi"/>
          <w:b/>
        </w:rPr>
      </w:pPr>
    </w:p>
    <w:p w14:paraId="14B33ADE" w14:textId="77777777" w:rsidR="00924939" w:rsidRPr="002A7ABA" w:rsidRDefault="00924939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2A7ABA">
        <w:rPr>
          <w:rFonts w:cstheme="minorHAnsi"/>
          <w:b/>
          <w:color w:val="1F4E79" w:themeColor="accent1" w:themeShade="80"/>
          <w:sz w:val="28"/>
          <w:szCs w:val="28"/>
        </w:rPr>
        <w:t>Podání návrhu projektu:</w:t>
      </w:r>
    </w:p>
    <w:p w14:paraId="3AE61F1B" w14:textId="77777777" w:rsidR="00924939" w:rsidRPr="002A7ABA" w:rsidRDefault="00924939" w:rsidP="002A7A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A7ABA">
        <w:rPr>
          <w:rFonts w:cstheme="minorHAnsi"/>
        </w:rPr>
        <w:t xml:space="preserve">Pro podání projektu je nutné po jeho odeslání z ISTA vygenerovat z účtu vlastníka Potvrzení podání elektronického návrhu projektu do ISTA, které bude zasláno datovou zprávou hlavního uchazeče v datovém poli „Věc“ bude uvedeno </w:t>
      </w:r>
      <w:r w:rsidRPr="002A7ABA">
        <w:rPr>
          <w:rFonts w:cstheme="minorHAnsi"/>
          <w:b/>
        </w:rPr>
        <w:t>1. veřejná soutěž programu DOPRAVA 2030 - Potvrzení</w:t>
      </w:r>
    </w:p>
    <w:p w14:paraId="29441B16" w14:textId="77777777" w:rsidR="00924939" w:rsidRPr="002A7ABA" w:rsidRDefault="00924939" w:rsidP="002A7A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A7ABA">
        <w:rPr>
          <w:rFonts w:cstheme="minorHAnsi"/>
          <w:b/>
        </w:rPr>
        <w:t>podání“.</w:t>
      </w:r>
    </w:p>
    <w:p w14:paraId="34CFF163" w14:textId="77777777" w:rsidR="007E344D" w:rsidRPr="002A7ABA" w:rsidRDefault="007E344D" w:rsidP="002A7ABA">
      <w:pPr>
        <w:spacing w:after="0"/>
        <w:jc w:val="both"/>
        <w:rPr>
          <w:rFonts w:cstheme="minorHAnsi"/>
        </w:rPr>
      </w:pPr>
    </w:p>
    <w:p w14:paraId="286C2700" w14:textId="77777777" w:rsidR="003206E0" w:rsidRPr="002A7ABA" w:rsidRDefault="003206E0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2A7ABA">
        <w:rPr>
          <w:rFonts w:cstheme="minorHAnsi"/>
          <w:b/>
          <w:color w:val="1F4E79" w:themeColor="accent1" w:themeShade="80"/>
          <w:sz w:val="28"/>
          <w:szCs w:val="28"/>
        </w:rPr>
        <w:t>Povinné přílohy:</w:t>
      </w:r>
    </w:p>
    <w:p w14:paraId="58210224" w14:textId="77777777" w:rsidR="00924939" w:rsidRPr="002A7ABA" w:rsidRDefault="00924939" w:rsidP="002A7ABA">
      <w:pPr>
        <w:spacing w:after="0"/>
        <w:jc w:val="both"/>
        <w:rPr>
          <w:rFonts w:cstheme="minorHAnsi"/>
          <w:b/>
        </w:rPr>
      </w:pPr>
      <w:r w:rsidRPr="002A7ABA">
        <w:rPr>
          <w:rFonts w:cstheme="minorHAnsi"/>
          <w:b/>
        </w:rPr>
        <w:t>Jaké dokumenty dokládá uchazeč (TAČR nebude vyzývat)</w:t>
      </w:r>
    </w:p>
    <w:p w14:paraId="055C0270" w14:textId="77777777" w:rsidR="00924939" w:rsidRPr="002A7ABA" w:rsidRDefault="00924939" w:rsidP="002A7ABA">
      <w:pPr>
        <w:spacing w:after="0"/>
        <w:jc w:val="both"/>
        <w:rPr>
          <w:rFonts w:cstheme="minorHAnsi"/>
          <w:b/>
        </w:rPr>
      </w:pPr>
      <w:r w:rsidRPr="002A7ABA">
        <w:rPr>
          <w:rFonts w:cstheme="minorHAnsi"/>
          <w:b/>
        </w:rPr>
        <w:t xml:space="preserve">Prostřednictvím datové schránky: </w:t>
      </w:r>
    </w:p>
    <w:p w14:paraId="35D6309F" w14:textId="77777777" w:rsidR="00924939" w:rsidRPr="002A7ABA" w:rsidRDefault="00924939" w:rsidP="002A7ABA">
      <w:pPr>
        <w:pStyle w:val="Odstavecseseznamem"/>
        <w:numPr>
          <w:ilvl w:val="0"/>
          <w:numId w:val="43"/>
        </w:numPr>
        <w:spacing w:after="0"/>
        <w:jc w:val="both"/>
        <w:rPr>
          <w:rFonts w:cstheme="minorHAnsi"/>
        </w:rPr>
      </w:pPr>
      <w:r w:rsidRPr="002A7ABA">
        <w:rPr>
          <w:rFonts w:cstheme="minorHAnsi"/>
        </w:rPr>
        <w:t xml:space="preserve">Potvrzení podání elektronického návrhu projektu do ISTA. </w:t>
      </w:r>
    </w:p>
    <w:p w14:paraId="7514047F" w14:textId="77777777" w:rsidR="00924939" w:rsidRPr="002A7ABA" w:rsidRDefault="00924939" w:rsidP="002A7ABA">
      <w:pPr>
        <w:spacing w:after="0"/>
        <w:ind w:left="360"/>
        <w:jc w:val="both"/>
        <w:rPr>
          <w:rFonts w:cstheme="minorHAnsi"/>
          <w:b/>
        </w:rPr>
      </w:pPr>
      <w:r w:rsidRPr="002A7ABA">
        <w:rPr>
          <w:rFonts w:cstheme="minorHAnsi"/>
          <w:b/>
        </w:rPr>
        <w:t xml:space="preserve">Prostřednictvím příloh v návrhu projektu do ISTA: </w:t>
      </w:r>
    </w:p>
    <w:p w14:paraId="1BFD79F2" w14:textId="77777777" w:rsidR="00924939" w:rsidRPr="002A7ABA" w:rsidRDefault="00924939" w:rsidP="002A7ABA">
      <w:pPr>
        <w:pStyle w:val="Odstavecseseznamem"/>
        <w:numPr>
          <w:ilvl w:val="0"/>
          <w:numId w:val="43"/>
        </w:numPr>
        <w:spacing w:after="0"/>
        <w:jc w:val="both"/>
        <w:rPr>
          <w:rFonts w:cstheme="minorHAnsi"/>
        </w:rPr>
      </w:pPr>
      <w:r w:rsidRPr="002A7ABA">
        <w:rPr>
          <w:rFonts w:cstheme="minorHAnsi"/>
        </w:rPr>
        <w:t>povinná příloha za druhy výsledků NmetS, NmetA, NmetC (Formulář pro druh</w:t>
      </w:r>
    </w:p>
    <w:p w14:paraId="663BEB7D" w14:textId="77777777" w:rsidR="00924939" w:rsidRPr="002A7ABA" w:rsidRDefault="00924939" w:rsidP="002A7ABA">
      <w:pPr>
        <w:pStyle w:val="Odstavecseseznamem"/>
        <w:spacing w:after="0"/>
        <w:jc w:val="both"/>
        <w:rPr>
          <w:rFonts w:cstheme="minorHAnsi"/>
        </w:rPr>
      </w:pPr>
      <w:r w:rsidRPr="002A7ABA">
        <w:rPr>
          <w:rFonts w:cstheme="minorHAnsi"/>
        </w:rPr>
        <w:lastRenderedPageBreak/>
        <w:t>výsledku Nmet, Formulář pro druh výsledku NmetS - MD);</w:t>
      </w:r>
    </w:p>
    <w:p w14:paraId="23C60B8E" w14:textId="77777777" w:rsidR="002A7ABA" w:rsidRPr="002A7ABA" w:rsidRDefault="002A7ABA" w:rsidP="002A7ABA">
      <w:pPr>
        <w:pStyle w:val="Odstavecseseznamem"/>
        <w:numPr>
          <w:ilvl w:val="0"/>
          <w:numId w:val="43"/>
        </w:numPr>
        <w:spacing w:after="0"/>
        <w:jc w:val="both"/>
        <w:rPr>
          <w:rFonts w:cstheme="minorHAnsi"/>
        </w:rPr>
      </w:pPr>
      <w:r w:rsidRPr="002A7ABA">
        <w:rPr>
          <w:rFonts w:cstheme="minorHAnsi"/>
        </w:rPr>
        <w:t>povinná příloha za druh výsledku P (patentová rešerše);</w:t>
      </w:r>
    </w:p>
    <w:p w14:paraId="7FB604B3" w14:textId="77777777" w:rsidR="002A7ABA" w:rsidRPr="002A7ABA" w:rsidRDefault="002A7ABA" w:rsidP="002A7ABA">
      <w:pPr>
        <w:pStyle w:val="Odstavecseseznamem"/>
        <w:numPr>
          <w:ilvl w:val="0"/>
          <w:numId w:val="43"/>
        </w:numPr>
        <w:spacing w:after="0"/>
        <w:jc w:val="both"/>
        <w:rPr>
          <w:rFonts w:cstheme="minorHAnsi"/>
        </w:rPr>
      </w:pPr>
      <w:r w:rsidRPr="002A7ABA">
        <w:rPr>
          <w:rFonts w:cstheme="minorHAnsi"/>
        </w:rPr>
        <w:t>příloha č. 1 - Prohlášení o dodržování zásady „významně nepoškozovat“.</w:t>
      </w:r>
    </w:p>
    <w:p w14:paraId="04DF3720" w14:textId="77777777" w:rsidR="002A7ABA" w:rsidRPr="002A7ABA" w:rsidRDefault="002A7ABA" w:rsidP="002A7ABA">
      <w:pPr>
        <w:pStyle w:val="Odstavecseseznamem"/>
        <w:numPr>
          <w:ilvl w:val="0"/>
          <w:numId w:val="43"/>
        </w:numPr>
        <w:spacing w:after="0"/>
        <w:jc w:val="both"/>
        <w:rPr>
          <w:rFonts w:cstheme="minorHAnsi"/>
        </w:rPr>
      </w:pPr>
      <w:r w:rsidRPr="002A7ABA">
        <w:rPr>
          <w:rFonts w:cstheme="minorHAnsi"/>
        </w:rPr>
        <w:t>za externího aplikačního garanta - povinná příloha, která prokáže zájem aplikačního garanta o výstupy/výsledky návrhu projektu;</w:t>
      </w:r>
    </w:p>
    <w:p w14:paraId="02526FEA" w14:textId="77777777" w:rsidR="002A7ABA" w:rsidRDefault="002A7ABA" w:rsidP="002A7ABA">
      <w:pPr>
        <w:pStyle w:val="Odstavecseseznamem"/>
        <w:numPr>
          <w:ilvl w:val="0"/>
          <w:numId w:val="43"/>
        </w:numPr>
        <w:spacing w:after="0"/>
        <w:jc w:val="both"/>
        <w:rPr>
          <w:rFonts w:cstheme="minorHAnsi"/>
        </w:rPr>
      </w:pPr>
      <w:r w:rsidRPr="002A7ABA">
        <w:rPr>
          <w:rFonts w:cstheme="minorHAnsi"/>
        </w:rPr>
        <w:t>v případě účasti dalšího účastníka ze zahraniční: údaje o skutečném majiteli zahraničního uchazeče.</w:t>
      </w:r>
    </w:p>
    <w:p w14:paraId="2F9C1AB5" w14:textId="77777777" w:rsidR="002A7ABA" w:rsidRPr="002A7ABA" w:rsidRDefault="002A7ABA" w:rsidP="002A7ABA">
      <w:pPr>
        <w:pStyle w:val="Odstavecseseznamem"/>
        <w:spacing w:after="0"/>
        <w:jc w:val="both"/>
        <w:rPr>
          <w:rFonts w:cstheme="minorHAnsi"/>
        </w:rPr>
      </w:pPr>
    </w:p>
    <w:p w14:paraId="12B95C2A" w14:textId="77777777" w:rsidR="00924939" w:rsidRPr="002A7ABA" w:rsidRDefault="00924939" w:rsidP="002A7ABA">
      <w:pPr>
        <w:spacing w:after="0"/>
        <w:jc w:val="both"/>
        <w:rPr>
          <w:rFonts w:cstheme="minorHAnsi"/>
          <w:b/>
        </w:rPr>
      </w:pPr>
      <w:r w:rsidRPr="002A7ABA">
        <w:rPr>
          <w:rFonts w:cstheme="minorHAnsi"/>
          <w:b/>
        </w:rPr>
        <w:t xml:space="preserve">Jaké dokumenty dokládá uchazeč (TA ČR může vyzvat) </w:t>
      </w:r>
    </w:p>
    <w:p w14:paraId="6C116988" w14:textId="77777777" w:rsidR="00924939" w:rsidRPr="002A7ABA" w:rsidRDefault="00924939" w:rsidP="002A7ABA">
      <w:pPr>
        <w:spacing w:after="0"/>
        <w:jc w:val="both"/>
        <w:rPr>
          <w:rFonts w:cstheme="minorHAnsi"/>
          <w:b/>
        </w:rPr>
      </w:pPr>
      <w:r w:rsidRPr="002A7ABA">
        <w:rPr>
          <w:rFonts w:cstheme="minorHAnsi"/>
          <w:b/>
        </w:rPr>
        <w:t xml:space="preserve">Prostřednictvím datové schránky: </w:t>
      </w:r>
    </w:p>
    <w:p w14:paraId="730A8209" w14:textId="77777777" w:rsidR="00924939" w:rsidRPr="002A7ABA" w:rsidRDefault="00924939" w:rsidP="002A7ABA">
      <w:pPr>
        <w:pStyle w:val="Odstavecseseznamem"/>
        <w:numPr>
          <w:ilvl w:val="0"/>
          <w:numId w:val="43"/>
        </w:numPr>
        <w:spacing w:after="0"/>
        <w:jc w:val="both"/>
        <w:rPr>
          <w:rFonts w:cstheme="minorHAnsi"/>
        </w:rPr>
      </w:pPr>
      <w:r w:rsidRPr="002A7ABA">
        <w:rPr>
          <w:rFonts w:cstheme="minorHAnsi"/>
        </w:rPr>
        <w:t xml:space="preserve">Čestné prohlášení za uchazeče/Sworn statement of the applicant – dokládá každý uchazeč, tedy hlavní uchazeč i další účastník; </w:t>
      </w:r>
    </w:p>
    <w:p w14:paraId="752B8861" w14:textId="77777777" w:rsidR="00924939" w:rsidRPr="002A7ABA" w:rsidRDefault="00924939" w:rsidP="002A7ABA">
      <w:pPr>
        <w:spacing w:after="0"/>
        <w:jc w:val="both"/>
        <w:rPr>
          <w:rFonts w:cstheme="minorHAnsi"/>
          <w:b/>
        </w:rPr>
      </w:pPr>
      <w:r w:rsidRPr="002A7ABA">
        <w:rPr>
          <w:rFonts w:cstheme="minorHAnsi"/>
          <w:b/>
        </w:rPr>
        <w:t xml:space="preserve">Prostřednictvím příloh v návrhu projektu do ISTA: </w:t>
      </w:r>
    </w:p>
    <w:p w14:paraId="221BEDD9" w14:textId="77777777" w:rsidR="00924939" w:rsidRPr="002A7ABA" w:rsidRDefault="00924939" w:rsidP="002A7ABA">
      <w:pPr>
        <w:pStyle w:val="Odstavecseseznamem"/>
        <w:numPr>
          <w:ilvl w:val="0"/>
          <w:numId w:val="43"/>
        </w:numPr>
        <w:spacing w:after="0"/>
        <w:jc w:val="both"/>
        <w:rPr>
          <w:rFonts w:cstheme="minorHAnsi"/>
        </w:rPr>
      </w:pPr>
      <w:r w:rsidRPr="002A7ABA">
        <w:rPr>
          <w:rFonts w:cstheme="minorHAnsi"/>
        </w:rPr>
        <w:t xml:space="preserve">účetní závěrky za roky 2019, 2020, 2021 včetně potvrzení o zaslání na rejstříkový soud, pokud ještě nedošlo k jejich zveřejnění (pouze v případě, že zveřejnění účetních závěrek ukládá příslušný zákon); </w:t>
      </w:r>
    </w:p>
    <w:p w14:paraId="24805402" w14:textId="77777777" w:rsidR="00924939" w:rsidRPr="002A7ABA" w:rsidRDefault="00924939" w:rsidP="002A7ABA">
      <w:pPr>
        <w:pStyle w:val="Odstavecseseznamem"/>
        <w:numPr>
          <w:ilvl w:val="0"/>
          <w:numId w:val="43"/>
        </w:numPr>
        <w:spacing w:after="0"/>
        <w:jc w:val="both"/>
        <w:rPr>
          <w:rFonts w:cstheme="minorHAnsi"/>
        </w:rPr>
      </w:pPr>
      <w:r w:rsidRPr="002A7ABA">
        <w:rPr>
          <w:rFonts w:cstheme="minorHAnsi"/>
        </w:rPr>
        <w:t>čestné prohlášení dalšího zahraničního účastníka, které bude obsahovat finanční položky potřebné k výpočtu podniku v obtížích za roky 2019, 2020 a 2021</w:t>
      </w:r>
    </w:p>
    <w:p w14:paraId="6A2390B7" w14:textId="77777777" w:rsidR="00924939" w:rsidRPr="002A7ABA" w:rsidRDefault="00924939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</w:p>
    <w:p w14:paraId="71739AF6" w14:textId="77777777" w:rsidR="000900A1" w:rsidRPr="002A7ABA" w:rsidRDefault="000900A1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2A7ABA">
        <w:rPr>
          <w:rFonts w:cstheme="minorHAnsi"/>
          <w:b/>
          <w:color w:val="1F4E79" w:themeColor="accent1" w:themeShade="80"/>
          <w:sz w:val="28"/>
          <w:szCs w:val="28"/>
        </w:rPr>
        <w:t>Hodnocení:</w:t>
      </w:r>
    </w:p>
    <w:p w14:paraId="7B0CD170" w14:textId="77777777" w:rsidR="000900A1" w:rsidRPr="002A7ABA" w:rsidRDefault="000900A1" w:rsidP="002A7ABA">
      <w:pPr>
        <w:spacing w:after="0"/>
        <w:rPr>
          <w:rFonts w:cstheme="minorHAnsi"/>
        </w:rPr>
      </w:pPr>
      <w:r w:rsidRPr="002A7ABA">
        <w:rPr>
          <w:rFonts w:cstheme="minorHAnsi"/>
        </w:rPr>
        <w:t>Hodnocení je složeno z </w:t>
      </w:r>
      <w:r w:rsidR="002A7ABA" w:rsidRPr="002A7ABA">
        <w:rPr>
          <w:rFonts w:cstheme="minorHAnsi"/>
        </w:rPr>
        <w:t>5</w:t>
      </w:r>
      <w:r w:rsidRPr="002A7ABA">
        <w:rPr>
          <w:rFonts w:cstheme="minorHAnsi"/>
        </w:rPr>
        <w:t xml:space="preserve"> binárních kritérií</w:t>
      </w:r>
      <w:r w:rsidR="00F91206" w:rsidRPr="002A7ABA">
        <w:rPr>
          <w:rFonts w:cstheme="minorHAnsi"/>
        </w:rPr>
        <w:t xml:space="preserve"> a</w:t>
      </w:r>
      <w:r w:rsidRPr="002A7ABA">
        <w:rPr>
          <w:rFonts w:cstheme="minorHAnsi"/>
        </w:rPr>
        <w:t xml:space="preserve"> 9 bodovaných kritérií. Bližší informace k hodnotícímu procesu jsou uvedeny ve speciální </w:t>
      </w:r>
      <w:r w:rsidR="002A7ABA" w:rsidRPr="002A7ABA">
        <w:rPr>
          <w:rFonts w:cstheme="minorHAnsi"/>
        </w:rPr>
        <w:t>zadávací dokumentace č. 2 – Hodnoticí proces.</w:t>
      </w:r>
    </w:p>
    <w:p w14:paraId="35CBC27B" w14:textId="77777777" w:rsidR="002A7ABA" w:rsidRPr="002A7ABA" w:rsidRDefault="002A7ABA">
      <w:pPr>
        <w:spacing w:after="0"/>
        <w:rPr>
          <w:rFonts w:cstheme="minorHAnsi"/>
        </w:rPr>
      </w:pPr>
    </w:p>
    <w:sectPr w:rsidR="002A7ABA" w:rsidRPr="002A7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FCD"/>
    <w:multiLevelType w:val="hybridMultilevel"/>
    <w:tmpl w:val="1F823BF0"/>
    <w:lvl w:ilvl="0" w:tplc="F8E62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24593"/>
    <w:multiLevelType w:val="hybridMultilevel"/>
    <w:tmpl w:val="D2F243D6"/>
    <w:lvl w:ilvl="0" w:tplc="A2AC48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36C1B"/>
    <w:multiLevelType w:val="hybridMultilevel"/>
    <w:tmpl w:val="09BCF59C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F16FA"/>
    <w:multiLevelType w:val="hybridMultilevel"/>
    <w:tmpl w:val="5CB892E0"/>
    <w:lvl w:ilvl="0" w:tplc="F8E62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C395E"/>
    <w:multiLevelType w:val="hybridMultilevel"/>
    <w:tmpl w:val="483EFD4A"/>
    <w:lvl w:ilvl="0" w:tplc="AE1AB2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AD6024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855E34"/>
    <w:multiLevelType w:val="hybridMultilevel"/>
    <w:tmpl w:val="73A2A044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D1336"/>
    <w:multiLevelType w:val="hybridMultilevel"/>
    <w:tmpl w:val="F8766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657D1"/>
    <w:multiLevelType w:val="hybridMultilevel"/>
    <w:tmpl w:val="664CF5D2"/>
    <w:lvl w:ilvl="0" w:tplc="F8E6266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EF7C5F"/>
    <w:multiLevelType w:val="hybridMultilevel"/>
    <w:tmpl w:val="173C96FE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42490"/>
    <w:multiLevelType w:val="hybridMultilevel"/>
    <w:tmpl w:val="E750A156"/>
    <w:lvl w:ilvl="0" w:tplc="AE1AB2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877C36"/>
    <w:multiLevelType w:val="hybridMultilevel"/>
    <w:tmpl w:val="F5403972"/>
    <w:lvl w:ilvl="0" w:tplc="C23C22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51587"/>
    <w:multiLevelType w:val="hybridMultilevel"/>
    <w:tmpl w:val="37729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D024F"/>
    <w:multiLevelType w:val="hybridMultilevel"/>
    <w:tmpl w:val="7D6E7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56B73"/>
    <w:multiLevelType w:val="hybridMultilevel"/>
    <w:tmpl w:val="7DE43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37E64"/>
    <w:multiLevelType w:val="hybridMultilevel"/>
    <w:tmpl w:val="5F28F218"/>
    <w:lvl w:ilvl="0" w:tplc="F8E62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AC8629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B724F"/>
    <w:multiLevelType w:val="hybridMultilevel"/>
    <w:tmpl w:val="184A3D1E"/>
    <w:lvl w:ilvl="0" w:tplc="F8E62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32CE5"/>
    <w:multiLevelType w:val="hybridMultilevel"/>
    <w:tmpl w:val="028AE240"/>
    <w:lvl w:ilvl="0" w:tplc="F8E6266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19644E"/>
    <w:multiLevelType w:val="hybridMultilevel"/>
    <w:tmpl w:val="F3FC93B8"/>
    <w:lvl w:ilvl="0" w:tplc="F6FCB40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C1C2B"/>
    <w:multiLevelType w:val="hybridMultilevel"/>
    <w:tmpl w:val="8BC8F5A8"/>
    <w:lvl w:ilvl="0" w:tplc="D9587E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818D3"/>
    <w:multiLevelType w:val="hybridMultilevel"/>
    <w:tmpl w:val="3410AFDE"/>
    <w:lvl w:ilvl="0" w:tplc="F8E6266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962CA4"/>
    <w:multiLevelType w:val="hybridMultilevel"/>
    <w:tmpl w:val="824C3B4A"/>
    <w:lvl w:ilvl="0" w:tplc="3EE404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1637C"/>
    <w:multiLevelType w:val="hybridMultilevel"/>
    <w:tmpl w:val="B53EB124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F5A39"/>
    <w:multiLevelType w:val="hybridMultilevel"/>
    <w:tmpl w:val="21D08D2E"/>
    <w:lvl w:ilvl="0" w:tplc="F8E62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F718E"/>
    <w:multiLevelType w:val="hybridMultilevel"/>
    <w:tmpl w:val="4858B90E"/>
    <w:lvl w:ilvl="0" w:tplc="F8E62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B5A71"/>
    <w:multiLevelType w:val="hybridMultilevel"/>
    <w:tmpl w:val="E5BABB84"/>
    <w:lvl w:ilvl="0" w:tplc="F8E62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86BF9"/>
    <w:multiLevelType w:val="hybridMultilevel"/>
    <w:tmpl w:val="4F364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40A23"/>
    <w:multiLevelType w:val="hybridMultilevel"/>
    <w:tmpl w:val="25963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10D01"/>
    <w:multiLevelType w:val="hybridMultilevel"/>
    <w:tmpl w:val="3E88531C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64F1B"/>
    <w:multiLevelType w:val="hybridMultilevel"/>
    <w:tmpl w:val="FB00FC56"/>
    <w:lvl w:ilvl="0" w:tplc="F8E62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3649F"/>
    <w:multiLevelType w:val="hybridMultilevel"/>
    <w:tmpl w:val="33F0D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41EFF"/>
    <w:multiLevelType w:val="hybridMultilevel"/>
    <w:tmpl w:val="A37C5E3A"/>
    <w:lvl w:ilvl="0" w:tplc="D9587E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9288E"/>
    <w:multiLevelType w:val="hybridMultilevel"/>
    <w:tmpl w:val="215895E8"/>
    <w:lvl w:ilvl="0" w:tplc="AE1AB2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1D3640"/>
    <w:multiLevelType w:val="hybridMultilevel"/>
    <w:tmpl w:val="D3446A8E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B7B3E"/>
    <w:multiLevelType w:val="hybridMultilevel"/>
    <w:tmpl w:val="AABA4ECE"/>
    <w:lvl w:ilvl="0" w:tplc="F8E62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A61D2"/>
    <w:multiLevelType w:val="hybridMultilevel"/>
    <w:tmpl w:val="E9FE6138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94999"/>
    <w:multiLevelType w:val="hybridMultilevel"/>
    <w:tmpl w:val="3FCE0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23F6B"/>
    <w:multiLevelType w:val="hybridMultilevel"/>
    <w:tmpl w:val="692084D2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C61F3"/>
    <w:multiLevelType w:val="hybridMultilevel"/>
    <w:tmpl w:val="5BB21152"/>
    <w:lvl w:ilvl="0" w:tplc="F8E62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E6507"/>
    <w:multiLevelType w:val="hybridMultilevel"/>
    <w:tmpl w:val="02CCC3CE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A005B"/>
    <w:multiLevelType w:val="hybridMultilevel"/>
    <w:tmpl w:val="E452D1AE"/>
    <w:lvl w:ilvl="0" w:tplc="BCD4A00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0398C"/>
    <w:multiLevelType w:val="hybridMultilevel"/>
    <w:tmpl w:val="EBA6DF8E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02E91"/>
    <w:multiLevelType w:val="hybridMultilevel"/>
    <w:tmpl w:val="4E28AA0A"/>
    <w:lvl w:ilvl="0" w:tplc="D9587E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47C11"/>
    <w:multiLevelType w:val="hybridMultilevel"/>
    <w:tmpl w:val="C352B5E2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35"/>
  </w:num>
  <w:num w:numId="4">
    <w:abstractNumId w:val="12"/>
  </w:num>
  <w:num w:numId="5">
    <w:abstractNumId w:val="17"/>
  </w:num>
  <w:num w:numId="6">
    <w:abstractNumId w:val="26"/>
  </w:num>
  <w:num w:numId="7">
    <w:abstractNumId w:val="41"/>
  </w:num>
  <w:num w:numId="8">
    <w:abstractNumId w:val="18"/>
  </w:num>
  <w:num w:numId="9">
    <w:abstractNumId w:val="30"/>
  </w:num>
  <w:num w:numId="10">
    <w:abstractNumId w:val="8"/>
  </w:num>
  <w:num w:numId="11">
    <w:abstractNumId w:val="38"/>
  </w:num>
  <w:num w:numId="12">
    <w:abstractNumId w:val="5"/>
  </w:num>
  <w:num w:numId="13">
    <w:abstractNumId w:val="42"/>
  </w:num>
  <w:num w:numId="14">
    <w:abstractNumId w:val="9"/>
  </w:num>
  <w:num w:numId="15">
    <w:abstractNumId w:val="34"/>
  </w:num>
  <w:num w:numId="16">
    <w:abstractNumId w:val="2"/>
  </w:num>
  <w:num w:numId="17">
    <w:abstractNumId w:val="39"/>
  </w:num>
  <w:num w:numId="18">
    <w:abstractNumId w:val="31"/>
  </w:num>
  <w:num w:numId="19">
    <w:abstractNumId w:val="36"/>
  </w:num>
  <w:num w:numId="20">
    <w:abstractNumId w:val="40"/>
  </w:num>
  <w:num w:numId="21">
    <w:abstractNumId w:val="27"/>
  </w:num>
  <w:num w:numId="22">
    <w:abstractNumId w:val="4"/>
  </w:num>
  <w:num w:numId="23">
    <w:abstractNumId w:val="21"/>
  </w:num>
  <w:num w:numId="24">
    <w:abstractNumId w:val="10"/>
  </w:num>
  <w:num w:numId="25">
    <w:abstractNumId w:val="32"/>
  </w:num>
  <w:num w:numId="26">
    <w:abstractNumId w:val="11"/>
  </w:num>
  <w:num w:numId="27">
    <w:abstractNumId w:val="37"/>
  </w:num>
  <w:num w:numId="28">
    <w:abstractNumId w:val="33"/>
  </w:num>
  <w:num w:numId="29">
    <w:abstractNumId w:val="24"/>
  </w:num>
  <w:num w:numId="30">
    <w:abstractNumId w:val="22"/>
  </w:num>
  <w:num w:numId="31">
    <w:abstractNumId w:val="20"/>
  </w:num>
  <w:num w:numId="32">
    <w:abstractNumId w:val="6"/>
  </w:num>
  <w:num w:numId="33">
    <w:abstractNumId w:val="29"/>
  </w:num>
  <w:num w:numId="34">
    <w:abstractNumId w:val="1"/>
  </w:num>
  <w:num w:numId="35">
    <w:abstractNumId w:val="15"/>
  </w:num>
  <w:num w:numId="36">
    <w:abstractNumId w:val="19"/>
  </w:num>
  <w:num w:numId="37">
    <w:abstractNumId w:val="7"/>
  </w:num>
  <w:num w:numId="38">
    <w:abstractNumId w:val="14"/>
  </w:num>
  <w:num w:numId="39">
    <w:abstractNumId w:val="23"/>
  </w:num>
  <w:num w:numId="40">
    <w:abstractNumId w:val="0"/>
  </w:num>
  <w:num w:numId="41">
    <w:abstractNumId w:val="3"/>
  </w:num>
  <w:num w:numId="42">
    <w:abstractNumId w:val="1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70F"/>
    <w:rsid w:val="000531D0"/>
    <w:rsid w:val="000900A1"/>
    <w:rsid w:val="001A5AB0"/>
    <w:rsid w:val="002425FA"/>
    <w:rsid w:val="00294F2E"/>
    <w:rsid w:val="002A7ABA"/>
    <w:rsid w:val="002D1982"/>
    <w:rsid w:val="003206E0"/>
    <w:rsid w:val="004E2A66"/>
    <w:rsid w:val="00560F2B"/>
    <w:rsid w:val="00563DF1"/>
    <w:rsid w:val="0057770F"/>
    <w:rsid w:val="005E71F4"/>
    <w:rsid w:val="005F4E49"/>
    <w:rsid w:val="00686E27"/>
    <w:rsid w:val="006A5CBC"/>
    <w:rsid w:val="006B5BFB"/>
    <w:rsid w:val="00760FE8"/>
    <w:rsid w:val="007628A7"/>
    <w:rsid w:val="007C2781"/>
    <w:rsid w:val="007C2B79"/>
    <w:rsid w:val="007D5F3E"/>
    <w:rsid w:val="007E14F2"/>
    <w:rsid w:val="007E344D"/>
    <w:rsid w:val="00837080"/>
    <w:rsid w:val="00850853"/>
    <w:rsid w:val="00853E18"/>
    <w:rsid w:val="00894BEB"/>
    <w:rsid w:val="008C5A66"/>
    <w:rsid w:val="008D7D7B"/>
    <w:rsid w:val="00924939"/>
    <w:rsid w:val="00997D15"/>
    <w:rsid w:val="009D52CC"/>
    <w:rsid w:val="009D66C6"/>
    <w:rsid w:val="009E250D"/>
    <w:rsid w:val="00A128BE"/>
    <w:rsid w:val="00AA5CA4"/>
    <w:rsid w:val="00AD0BCF"/>
    <w:rsid w:val="00AF3498"/>
    <w:rsid w:val="00BB6F03"/>
    <w:rsid w:val="00C10D9F"/>
    <w:rsid w:val="00C4569A"/>
    <w:rsid w:val="00C804E7"/>
    <w:rsid w:val="00CA65B4"/>
    <w:rsid w:val="00CC39C8"/>
    <w:rsid w:val="00D658FB"/>
    <w:rsid w:val="00D66035"/>
    <w:rsid w:val="00DC372A"/>
    <w:rsid w:val="00DD097B"/>
    <w:rsid w:val="00EB3EF0"/>
    <w:rsid w:val="00EF6A81"/>
    <w:rsid w:val="00F148C0"/>
    <w:rsid w:val="00F91206"/>
    <w:rsid w:val="00FE3CFC"/>
    <w:rsid w:val="00F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0E63"/>
  <w15:chartTrackingRefBased/>
  <w15:docId w15:val="{111FCB2E-4DBB-4516-BEAB-79E05E5F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ubheading-category1">
    <w:name w:val="subheading-category1"/>
    <w:basedOn w:val="Standardnpsmoodstavce"/>
    <w:rsid w:val="0057770F"/>
    <w:rPr>
      <w:cap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7770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777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94BEB"/>
    <w:rPr>
      <w:color w:val="0563C1" w:themeColor="hyperlink"/>
      <w:u w:val="single"/>
    </w:rPr>
  </w:style>
  <w:style w:type="paragraph" w:customStyle="1" w:styleId="Default">
    <w:name w:val="Default"/>
    <w:rsid w:val="00FE3CF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F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cerova@vutbr.cz" TargetMode="External"/><Relationship Id="rId13" Type="http://schemas.openxmlformats.org/officeDocument/2006/relationships/hyperlink" Target="mailto:saskova@vutb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psiova@vutbr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sta.tacr.cz/ISTA/action/Dashboard/ExternalNew/?actionId=4396311232625115&amp;ts=1618409983006&amp;hash=b+/wcP7Y8IGU1RkRhz37cXn5Y/ub2EB46M5pPdMyoEc=&amp;nbl=true&amp;uselastresult=true&amp;_browserSessionID=&amp;lan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na.ondrouskova@vutbr.cz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acr.cz/dokumenty/prirucka-aplikacni-garant" TargetMode="External"/><Relationship Id="rId10" Type="http://schemas.openxmlformats.org/officeDocument/2006/relationships/hyperlink" Target="mailto:horka@vutbr.c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ankovam@vutbr.cz" TargetMode="External"/><Relationship Id="rId14" Type="http://schemas.openxmlformats.org/officeDocument/2006/relationships/hyperlink" Target="https://www.tacr.cz/soutez/doprava-2030/prvni-verejna-soutez-7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B68D9F2763649910998E89D96AB68" ma:contentTypeVersion="14" ma:contentTypeDescription="Vytvoří nový dokument" ma:contentTypeScope="" ma:versionID="a5da58d5750baf087190357f062b30a3">
  <xsd:schema xmlns:xsd="http://www.w3.org/2001/XMLSchema" xmlns:xs="http://www.w3.org/2001/XMLSchema" xmlns:p="http://schemas.microsoft.com/office/2006/metadata/properties" xmlns:ns2="041d89de-1744-4521-a685-e886ea2c03de" xmlns:ns3="8c35e4c5-d405-463c-af8a-5ed9b7598b51" targetNamespace="http://schemas.microsoft.com/office/2006/metadata/properties" ma:root="true" ma:fieldsID="b3ab4886b19eb3fb727d95f41b84c429" ns2:_="" ns3:_="">
    <xsd:import namespace="041d89de-1744-4521-a685-e886ea2c03de"/>
    <xsd:import namespace="8c35e4c5-d405-463c-af8a-5ed9b7598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89de-1744-4521-a685-e886ea2c0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5e4c5-d405-463c-af8a-5ed9b7598b5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5fba7fc-e759-43d2-8863-c8702963e369}" ma:internalName="TaxCatchAll" ma:showField="CatchAllData" ma:web="8c35e4c5-d405-463c-af8a-5ed9b7598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35e4c5-d405-463c-af8a-5ed9b7598b51" xsi:nil="true"/>
    <lcf76f155ced4ddcb4097134ff3c332f xmlns="041d89de-1744-4521-a685-e886ea2c03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130244-A19A-426E-AE55-DCE779D40E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EB184-A6AB-46C2-93EB-27490445A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d89de-1744-4521-a685-e886ea2c03de"/>
    <ds:schemaRef ds:uri="8c35e4c5-d405-463c-af8a-5ed9b7598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F69D6A-F9F4-44C1-BF7F-378A9BEB04F4}">
  <ds:schemaRefs>
    <ds:schemaRef ds:uri="http://schemas.microsoft.com/office/2006/metadata/properties"/>
    <ds:schemaRef ds:uri="http://schemas.microsoft.com/office/infopath/2007/PartnerControls"/>
    <ds:schemaRef ds:uri="8c35e4c5-d405-463c-af8a-5ed9b7598b51"/>
    <ds:schemaRef ds:uri="041d89de-1744-4521-a685-e886ea2c03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1683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Legátová Martina</dc:creator>
  <cp:keywords/>
  <dc:description/>
  <cp:lastModifiedBy>Vavrečková Eva (233793)</cp:lastModifiedBy>
  <cp:revision>3</cp:revision>
  <dcterms:created xsi:type="dcterms:W3CDTF">2023-04-28T10:46:00Z</dcterms:created>
  <dcterms:modified xsi:type="dcterms:W3CDTF">2023-05-04T06:58:00Z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0x010100F6FB68D9F2763649910998E89D96AB68</vt:lpwstr>
  </property>
</Properties>
</file>