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D810" w14:textId="77777777" w:rsidR="002E1ECA" w:rsidRPr="00BB3778" w:rsidRDefault="00A83F6E" w:rsidP="00BB3778">
      <w:pPr>
        <w:rPr>
          <w:rFonts w:cstheme="minorHAnsi"/>
          <w:b/>
          <w:color w:val="1F4E79" w:themeColor="accent1" w:themeShade="80"/>
          <w:sz w:val="32"/>
          <w:szCs w:val="28"/>
        </w:rPr>
      </w:pPr>
      <w:r w:rsidRPr="00BB3778">
        <w:rPr>
          <w:b/>
          <w:color w:val="1F4E79" w:themeColor="accent1" w:themeShade="80"/>
          <w:sz w:val="32"/>
          <w:szCs w:val="28"/>
        </w:rPr>
        <w:t>10</w:t>
      </w:r>
      <w:r w:rsidR="00531DCA" w:rsidRPr="00BB3778">
        <w:rPr>
          <w:b/>
          <w:color w:val="1F4E79" w:themeColor="accent1" w:themeShade="80"/>
          <w:sz w:val="32"/>
          <w:szCs w:val="28"/>
        </w:rPr>
        <w:t xml:space="preserve">. </w:t>
      </w:r>
      <w:r w:rsidR="0057770F" w:rsidRPr="00BB3778">
        <w:rPr>
          <w:b/>
          <w:color w:val="1F4E79" w:themeColor="accent1" w:themeShade="80"/>
          <w:sz w:val="32"/>
          <w:szCs w:val="28"/>
        </w:rPr>
        <w:t xml:space="preserve">veřejná </w:t>
      </w:r>
      <w:proofErr w:type="gramStart"/>
      <w:r w:rsidR="0057770F" w:rsidRPr="00BB3778">
        <w:rPr>
          <w:b/>
          <w:color w:val="1F4E79" w:themeColor="accent1" w:themeShade="80"/>
          <w:sz w:val="32"/>
          <w:szCs w:val="28"/>
        </w:rPr>
        <w:t xml:space="preserve">soutěž </w:t>
      </w:r>
      <w:r w:rsidR="00AB60CA" w:rsidRPr="00BB3778">
        <w:rPr>
          <w:b/>
          <w:color w:val="1F4E79" w:themeColor="accent1" w:themeShade="80"/>
          <w:sz w:val="32"/>
          <w:szCs w:val="28"/>
        </w:rPr>
        <w:t>- Program</w:t>
      </w:r>
      <w:proofErr w:type="gramEnd"/>
      <w:r w:rsidR="00AB60CA" w:rsidRPr="00BB3778">
        <w:rPr>
          <w:b/>
          <w:color w:val="1F4E79" w:themeColor="accent1" w:themeShade="80"/>
          <w:sz w:val="32"/>
          <w:szCs w:val="28"/>
        </w:rPr>
        <w:t xml:space="preserve"> </w:t>
      </w:r>
      <w:r w:rsidR="00B45D01" w:rsidRPr="00BB3778">
        <w:rPr>
          <w:b/>
          <w:color w:val="1F4E79" w:themeColor="accent1" w:themeShade="80"/>
          <w:sz w:val="32"/>
          <w:szCs w:val="28"/>
        </w:rPr>
        <w:t>na podporu aplikovaného</w:t>
      </w:r>
      <w:r w:rsidR="00AB60CA" w:rsidRPr="00BB3778">
        <w:rPr>
          <w:b/>
          <w:color w:val="1F4E79" w:themeColor="accent1" w:themeShade="80"/>
          <w:sz w:val="32"/>
          <w:szCs w:val="28"/>
        </w:rPr>
        <w:t xml:space="preserve"> výzkumu a experimentálního vývoje TREND</w:t>
      </w:r>
      <w:r w:rsidR="00B45D01" w:rsidRPr="00BB3778">
        <w:rPr>
          <w:b/>
          <w:color w:val="1F4E79" w:themeColor="accent1" w:themeShade="80"/>
          <w:sz w:val="32"/>
          <w:szCs w:val="28"/>
        </w:rPr>
        <w:t>, podprogram 1</w:t>
      </w:r>
    </w:p>
    <w:p w14:paraId="7B68CAE8" w14:textId="77777777" w:rsidR="0057770F" w:rsidRPr="00BB3778" w:rsidRDefault="00BB3778" w:rsidP="0057770F">
      <w:pPr>
        <w:rPr>
          <w:rFonts w:cstheme="minorHAnsi"/>
          <w:b/>
          <w:i/>
          <w:color w:val="FF0000"/>
        </w:rPr>
      </w:pPr>
      <w:r w:rsidRPr="00BB3778">
        <w:rPr>
          <w:rFonts w:cstheme="minorHAnsi"/>
          <w:b/>
          <w:i/>
          <w:color w:val="FF0000"/>
        </w:rPr>
        <w:t>Výzva je financována z Národního plánu obnovy!</w:t>
      </w:r>
    </w:p>
    <w:p w14:paraId="7E3D1219" w14:textId="77777777" w:rsidR="00BB3778" w:rsidRDefault="00BB3778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07EC57F9" w14:textId="77777777" w:rsidR="0057770F" w:rsidRPr="0064710B" w:rsidRDefault="0057770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Důležité termíny:</w:t>
      </w:r>
    </w:p>
    <w:p w14:paraId="10F7ADEC" w14:textId="77777777" w:rsidR="0057770F" w:rsidRPr="0064710B" w:rsidRDefault="0057770F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Soutěžní lhůta začíná</w:t>
      </w:r>
      <w:r w:rsidR="00AB60CA" w:rsidRPr="0064710B">
        <w:rPr>
          <w:rFonts w:cstheme="minorHAnsi"/>
        </w:rPr>
        <w:t xml:space="preserve"> </w:t>
      </w:r>
      <w:r w:rsidR="00A83F6E">
        <w:rPr>
          <w:rFonts w:cstheme="minorHAnsi"/>
          <w:b/>
        </w:rPr>
        <w:t>6</w:t>
      </w:r>
      <w:r w:rsidR="00647EBB" w:rsidRPr="0064710B">
        <w:rPr>
          <w:rFonts w:cstheme="minorHAnsi"/>
          <w:b/>
        </w:rPr>
        <w:t xml:space="preserve">. </w:t>
      </w:r>
      <w:r w:rsidR="00A83F6E">
        <w:rPr>
          <w:rFonts w:cstheme="minorHAnsi"/>
          <w:b/>
        </w:rPr>
        <w:t>4</w:t>
      </w:r>
      <w:r w:rsidR="00647EBB" w:rsidRPr="0064710B">
        <w:rPr>
          <w:rFonts w:cstheme="minorHAnsi"/>
          <w:b/>
        </w:rPr>
        <w:t>. 202</w:t>
      </w:r>
      <w:r w:rsidR="00A83F6E">
        <w:rPr>
          <w:rFonts w:cstheme="minorHAnsi"/>
          <w:b/>
        </w:rPr>
        <w:t>3</w:t>
      </w:r>
    </w:p>
    <w:p w14:paraId="08D7EEA2" w14:textId="77777777" w:rsidR="0057770F" w:rsidRPr="0064710B" w:rsidRDefault="0057770F" w:rsidP="005A485D">
      <w:pPr>
        <w:spacing w:line="240" w:lineRule="auto"/>
        <w:ind w:left="2835" w:hanging="2835"/>
        <w:jc w:val="both"/>
        <w:rPr>
          <w:rFonts w:cstheme="minorHAnsi"/>
          <w:b/>
        </w:rPr>
      </w:pPr>
      <w:r w:rsidRPr="003F31DA">
        <w:rPr>
          <w:rFonts w:cstheme="minorHAnsi"/>
        </w:rPr>
        <w:t xml:space="preserve">Soutěžní lhůta končí: </w:t>
      </w:r>
      <w:r w:rsidR="00A83F6E" w:rsidRPr="003F31DA">
        <w:rPr>
          <w:rFonts w:cstheme="minorHAnsi"/>
          <w:b/>
        </w:rPr>
        <w:t>24</w:t>
      </w:r>
      <w:r w:rsidR="00647EBB" w:rsidRPr="003F31DA">
        <w:rPr>
          <w:rFonts w:cstheme="minorHAnsi"/>
          <w:b/>
        </w:rPr>
        <w:t xml:space="preserve">. </w:t>
      </w:r>
      <w:r w:rsidR="00A83F6E" w:rsidRPr="003F31DA">
        <w:rPr>
          <w:rFonts w:cstheme="minorHAnsi"/>
          <w:b/>
        </w:rPr>
        <w:t>5</w:t>
      </w:r>
      <w:r w:rsidR="00647EBB" w:rsidRPr="003F31DA">
        <w:rPr>
          <w:rFonts w:cstheme="minorHAnsi"/>
          <w:b/>
        </w:rPr>
        <w:t>. 202</w:t>
      </w:r>
      <w:r w:rsidR="005D3618" w:rsidRPr="003F31DA">
        <w:rPr>
          <w:rFonts w:cstheme="minorHAnsi"/>
          <w:b/>
        </w:rPr>
        <w:t>3</w:t>
      </w:r>
      <w:r w:rsidRPr="003F31DA">
        <w:rPr>
          <w:rFonts w:cstheme="minorHAnsi"/>
        </w:rPr>
        <w:t xml:space="preserve"> </w:t>
      </w:r>
      <w:r w:rsidRPr="003F31DA">
        <w:rPr>
          <w:rFonts w:cstheme="minorHAnsi"/>
          <w:b/>
        </w:rPr>
        <w:t>do 1</w:t>
      </w:r>
      <w:r w:rsidR="00CC39C8" w:rsidRPr="003F31DA">
        <w:rPr>
          <w:rFonts w:cstheme="minorHAnsi"/>
          <w:b/>
        </w:rPr>
        <w:t>6</w:t>
      </w:r>
      <w:r w:rsidRPr="003F31DA">
        <w:rPr>
          <w:rFonts w:cstheme="minorHAnsi"/>
          <w:b/>
        </w:rPr>
        <w:t>.</w:t>
      </w:r>
      <w:r w:rsidR="00D704E8" w:rsidRPr="003F31DA">
        <w:rPr>
          <w:rFonts w:cstheme="minorHAnsi"/>
          <w:b/>
        </w:rPr>
        <w:t>29</w:t>
      </w:r>
      <w:r w:rsidRPr="003F31DA">
        <w:rPr>
          <w:rFonts w:cstheme="minorHAnsi"/>
          <w:b/>
        </w:rPr>
        <w:t xml:space="preserve"> pro podání </w:t>
      </w:r>
      <w:proofErr w:type="gramStart"/>
      <w:r w:rsidRPr="003F31DA">
        <w:rPr>
          <w:rFonts w:cstheme="minorHAnsi"/>
          <w:b/>
        </w:rPr>
        <w:t xml:space="preserve">projektu; </w:t>
      </w:r>
      <w:r w:rsidR="001923C1" w:rsidRPr="003F31DA">
        <w:rPr>
          <w:rFonts w:cstheme="minorHAnsi"/>
          <w:b/>
        </w:rPr>
        <w:t xml:space="preserve"> do</w:t>
      </w:r>
      <w:proofErr w:type="gramEnd"/>
      <w:r w:rsidR="001923C1" w:rsidRPr="003F31DA">
        <w:rPr>
          <w:rFonts w:cstheme="minorHAnsi"/>
          <w:b/>
        </w:rPr>
        <w:t xml:space="preserve"> 23.59 pro zaslání Potvrzení podání elektronického návrhu a potvrzení způsobilosti uchazeče datovou schránkou (ID datové schránky TA ČR: afth9xp.).  V náležitostech zprávy v datovém poli „Věc“ musí být uvedeno </w:t>
      </w:r>
      <w:r w:rsidR="006B5E9F" w:rsidRPr="003F31DA">
        <w:rPr>
          <w:rFonts w:cstheme="minorHAnsi"/>
          <w:b/>
        </w:rPr>
        <w:t>„</w:t>
      </w:r>
      <w:r w:rsidR="003F31DA" w:rsidRPr="003F31DA">
        <w:rPr>
          <w:b/>
        </w:rPr>
        <w:t xml:space="preserve">10. veřejná soutěž programu </w:t>
      </w:r>
      <w:proofErr w:type="gramStart"/>
      <w:r w:rsidR="003F31DA" w:rsidRPr="003F31DA">
        <w:rPr>
          <w:b/>
        </w:rPr>
        <w:t>TREND - Potvrzení</w:t>
      </w:r>
      <w:proofErr w:type="gramEnd"/>
      <w:r w:rsidR="003F31DA" w:rsidRPr="003F31DA">
        <w:rPr>
          <w:b/>
        </w:rPr>
        <w:t xml:space="preserve"> podání</w:t>
      </w:r>
      <w:r w:rsidR="000036D5" w:rsidRPr="003F31DA">
        <w:rPr>
          <w:rFonts w:cstheme="minorHAnsi"/>
          <w:b/>
        </w:rPr>
        <w:t>“</w:t>
      </w:r>
      <w:r w:rsidR="006B5E9F" w:rsidRPr="003F31DA">
        <w:rPr>
          <w:rFonts w:cstheme="minorHAnsi"/>
          <w:b/>
        </w:rPr>
        <w:t>.</w:t>
      </w:r>
      <w:r w:rsidR="001923C1" w:rsidRPr="003F31DA">
        <w:rPr>
          <w:rFonts w:cstheme="minorHAnsi"/>
          <w:b/>
        </w:rPr>
        <w:t xml:space="preserve"> Potvrzení o podání projektu musí jít z datové schránky hlavního uchazeče. Čestné prohlášení o prokázání způsobilosti uchazeče posílá každý uchazeč ze své datové schránky. V případě zahraničního uchazeče</w:t>
      </w:r>
      <w:r w:rsidR="000036D5" w:rsidRPr="003F31DA">
        <w:rPr>
          <w:rFonts w:cstheme="minorHAnsi"/>
          <w:b/>
        </w:rPr>
        <w:t>, či uchazeče bez datové schránky</w:t>
      </w:r>
      <w:r w:rsidR="001923C1" w:rsidRPr="003F31DA">
        <w:rPr>
          <w:rFonts w:cstheme="minorHAnsi"/>
          <w:b/>
        </w:rPr>
        <w:t xml:space="preserve"> doloží ČP v listinné podobě.</w:t>
      </w:r>
    </w:p>
    <w:p w14:paraId="5EEA83A8" w14:textId="77777777"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 xml:space="preserve">Vyhlášení výsledků </w:t>
      </w:r>
      <w:r w:rsidRPr="003E169E">
        <w:rPr>
          <w:rFonts w:cstheme="minorHAnsi"/>
        </w:rPr>
        <w:t>soutěže:</w:t>
      </w:r>
      <w:r w:rsidRPr="003E169E">
        <w:rPr>
          <w:rFonts w:cstheme="minorHAnsi"/>
          <w:b/>
        </w:rPr>
        <w:t xml:space="preserve"> </w:t>
      </w:r>
      <w:r w:rsidR="0030289D" w:rsidRPr="003E169E">
        <w:rPr>
          <w:rFonts w:cstheme="minorHAnsi"/>
          <w:b/>
        </w:rPr>
        <w:t xml:space="preserve">30. </w:t>
      </w:r>
      <w:r w:rsidR="003E169E" w:rsidRPr="003E169E">
        <w:rPr>
          <w:rFonts w:cstheme="minorHAnsi"/>
          <w:b/>
        </w:rPr>
        <w:t>11</w:t>
      </w:r>
      <w:r w:rsidR="0030289D" w:rsidRPr="003E169E">
        <w:rPr>
          <w:rFonts w:cstheme="minorHAnsi"/>
          <w:b/>
        </w:rPr>
        <w:t>.</w:t>
      </w:r>
      <w:r w:rsidR="00E96464" w:rsidRPr="003E169E">
        <w:rPr>
          <w:rFonts w:cstheme="minorHAnsi"/>
          <w:b/>
        </w:rPr>
        <w:t xml:space="preserve"> </w:t>
      </w:r>
      <w:r w:rsidR="00647EBB" w:rsidRPr="003E169E">
        <w:rPr>
          <w:rFonts w:cstheme="minorHAnsi"/>
          <w:b/>
        </w:rPr>
        <w:t>202</w:t>
      </w:r>
      <w:r w:rsidR="00E96464" w:rsidRPr="003E169E">
        <w:rPr>
          <w:rFonts w:cstheme="minorHAnsi"/>
          <w:b/>
        </w:rPr>
        <w:t>3</w:t>
      </w:r>
    </w:p>
    <w:p w14:paraId="65C9B6D2" w14:textId="77777777"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Zahájení řešení projektu:</w:t>
      </w:r>
      <w:r w:rsidRPr="0064710B">
        <w:rPr>
          <w:rFonts w:cstheme="minorHAnsi"/>
          <w:b/>
        </w:rPr>
        <w:t xml:space="preserve"> 1. </w:t>
      </w:r>
      <w:r w:rsidR="00A83F6E">
        <w:rPr>
          <w:rFonts w:cstheme="minorHAnsi"/>
          <w:b/>
        </w:rPr>
        <w:t>1</w:t>
      </w:r>
      <w:r w:rsidRPr="0064710B">
        <w:rPr>
          <w:rFonts w:cstheme="minorHAnsi"/>
          <w:b/>
        </w:rPr>
        <w:t xml:space="preserve">. – </w:t>
      </w:r>
      <w:r w:rsidR="003F31DA">
        <w:rPr>
          <w:rFonts w:cstheme="minorHAnsi"/>
          <w:b/>
        </w:rPr>
        <w:t>28</w:t>
      </w:r>
      <w:r w:rsidR="00614A99" w:rsidRPr="0064710B">
        <w:rPr>
          <w:rFonts w:cstheme="minorHAnsi"/>
          <w:b/>
        </w:rPr>
        <w:t>.</w:t>
      </w:r>
      <w:r w:rsidR="003F31DA">
        <w:rPr>
          <w:rFonts w:cstheme="minorHAnsi"/>
          <w:b/>
        </w:rPr>
        <w:t>2</w:t>
      </w:r>
      <w:r w:rsidR="00614A99" w:rsidRPr="0064710B">
        <w:rPr>
          <w:rFonts w:cstheme="minorHAnsi"/>
          <w:b/>
        </w:rPr>
        <w:t>.</w:t>
      </w:r>
      <w:r w:rsidRPr="0064710B">
        <w:rPr>
          <w:rFonts w:cstheme="minorHAnsi"/>
          <w:b/>
        </w:rPr>
        <w:t xml:space="preserve"> 202</w:t>
      </w:r>
      <w:r w:rsidR="00A83F6E">
        <w:rPr>
          <w:rFonts w:cstheme="minorHAnsi"/>
          <w:b/>
        </w:rPr>
        <w:t>4</w:t>
      </w:r>
    </w:p>
    <w:p w14:paraId="06777A9F" w14:textId="77777777"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Nejzazší termín ukončení řešení projektu:</w:t>
      </w:r>
      <w:r w:rsidR="0003137D" w:rsidRPr="0064710B">
        <w:rPr>
          <w:rFonts w:cstheme="minorHAnsi"/>
        </w:rPr>
        <w:t xml:space="preserve"> </w:t>
      </w:r>
      <w:r w:rsidR="00A83F6E">
        <w:rPr>
          <w:rFonts w:cstheme="minorHAnsi"/>
          <w:b/>
        </w:rPr>
        <w:t>30. 6.</w:t>
      </w:r>
      <w:r w:rsidR="005D3618" w:rsidRPr="0064710B">
        <w:rPr>
          <w:rFonts w:cstheme="minorHAnsi"/>
          <w:b/>
        </w:rPr>
        <w:t xml:space="preserve"> 202</w:t>
      </w:r>
      <w:r w:rsidR="00A83F6E">
        <w:rPr>
          <w:rFonts w:cstheme="minorHAnsi"/>
          <w:b/>
        </w:rPr>
        <w:t>6</w:t>
      </w:r>
    </w:p>
    <w:p w14:paraId="30A7E18E" w14:textId="77777777"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Délka řešení projektu:</w:t>
      </w:r>
      <w:r w:rsidRPr="0064710B">
        <w:rPr>
          <w:rFonts w:cstheme="minorHAnsi"/>
          <w:b/>
        </w:rPr>
        <w:t xml:space="preserve"> </w:t>
      </w:r>
      <w:proofErr w:type="gramStart"/>
      <w:r w:rsidRPr="0064710B">
        <w:rPr>
          <w:rFonts w:cstheme="minorHAnsi"/>
          <w:b/>
        </w:rPr>
        <w:t xml:space="preserve">12 – </w:t>
      </w:r>
      <w:r w:rsidR="00A83F6E">
        <w:rPr>
          <w:rFonts w:cstheme="minorHAnsi"/>
          <w:b/>
        </w:rPr>
        <w:t>30</w:t>
      </w:r>
      <w:proofErr w:type="gramEnd"/>
      <w:r w:rsidRPr="0064710B">
        <w:rPr>
          <w:rFonts w:cstheme="minorHAnsi"/>
          <w:b/>
        </w:rPr>
        <w:t xml:space="preserve"> měsíců</w:t>
      </w:r>
    </w:p>
    <w:p w14:paraId="3384DC7A" w14:textId="77777777" w:rsidR="0057770F" w:rsidRPr="0064710B" w:rsidRDefault="0057770F" w:rsidP="0057770F">
      <w:pPr>
        <w:rPr>
          <w:rFonts w:cstheme="minorHAnsi"/>
          <w:b/>
          <w:highlight w:val="yellow"/>
        </w:rPr>
      </w:pPr>
    </w:p>
    <w:p w14:paraId="0B0B10A3" w14:textId="77777777" w:rsidR="00531DCA" w:rsidRPr="0064710B" w:rsidRDefault="00531DCA" w:rsidP="00531DCA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Kontaktní osoby:</w:t>
      </w:r>
    </w:p>
    <w:p w14:paraId="4289E84C" w14:textId="77777777" w:rsidR="00531DCA" w:rsidRPr="0064710B" w:rsidRDefault="00531DCA" w:rsidP="00531DCA">
      <w:pPr>
        <w:rPr>
          <w:rFonts w:cstheme="minorHAnsi"/>
          <w:b/>
        </w:rPr>
      </w:pPr>
      <w:r w:rsidRPr="0064710B">
        <w:rPr>
          <w:rFonts w:cstheme="minorHAnsi"/>
          <w:b/>
        </w:rPr>
        <w:t xml:space="preserve">Soutěž TAČR na VUT Brno – Ing. </w:t>
      </w:r>
      <w:r w:rsidR="00E96464" w:rsidRPr="0064710B">
        <w:rPr>
          <w:rFonts w:cstheme="minorHAnsi"/>
          <w:b/>
        </w:rPr>
        <w:t>Veronika Pilcerová</w:t>
      </w:r>
      <w:r w:rsidRPr="0064710B">
        <w:rPr>
          <w:rFonts w:cstheme="minorHAnsi"/>
          <w:b/>
        </w:rPr>
        <w:t xml:space="preserve"> (</w:t>
      </w:r>
      <w:hyperlink r:id="rId5" w:history="1">
        <w:r w:rsidR="00E96464" w:rsidRPr="0064710B">
          <w:rPr>
            <w:rStyle w:val="Hypertextovodkaz"/>
            <w:rFonts w:cstheme="minorHAnsi"/>
            <w:b/>
          </w:rPr>
          <w:t>pilcerova@vutbr.cz</w:t>
        </w:r>
      </w:hyperlink>
      <w:r w:rsidRPr="0064710B">
        <w:rPr>
          <w:rFonts w:cstheme="minorHAnsi"/>
          <w:b/>
        </w:rPr>
        <w:t>, kl. 5237)</w:t>
      </w:r>
    </w:p>
    <w:p w14:paraId="3FA19675" w14:textId="77777777" w:rsidR="00531DCA" w:rsidRDefault="00531DCA" w:rsidP="00531DCA">
      <w:pPr>
        <w:rPr>
          <w:rFonts w:cstheme="minorHAnsi"/>
          <w:b/>
        </w:rPr>
      </w:pPr>
      <w:r w:rsidRPr="0064710B">
        <w:rPr>
          <w:rFonts w:cstheme="minorHAnsi"/>
          <w:b/>
        </w:rPr>
        <w:t xml:space="preserve">Duševní vlastnictví, konzultace smlouvy mezi uchazeči, </w:t>
      </w:r>
      <w:proofErr w:type="spellStart"/>
      <w:r w:rsidRPr="0064710B">
        <w:rPr>
          <w:rFonts w:cstheme="minorHAnsi"/>
          <w:b/>
        </w:rPr>
        <w:t>Letter</w:t>
      </w:r>
      <w:proofErr w:type="spellEnd"/>
      <w:r w:rsidRPr="0064710B">
        <w:rPr>
          <w:rFonts w:cstheme="minorHAnsi"/>
          <w:b/>
        </w:rPr>
        <w:t xml:space="preserve"> </w:t>
      </w:r>
      <w:proofErr w:type="spellStart"/>
      <w:r w:rsidRPr="0064710B">
        <w:rPr>
          <w:rFonts w:cstheme="minorHAnsi"/>
          <w:b/>
        </w:rPr>
        <w:t>of</w:t>
      </w:r>
      <w:proofErr w:type="spellEnd"/>
      <w:r w:rsidRPr="0064710B">
        <w:rPr>
          <w:rFonts w:cstheme="minorHAnsi"/>
          <w:b/>
        </w:rPr>
        <w:t xml:space="preserve"> </w:t>
      </w:r>
      <w:proofErr w:type="spellStart"/>
      <w:r w:rsidRPr="0064710B">
        <w:rPr>
          <w:rFonts w:cstheme="minorHAnsi"/>
          <w:b/>
        </w:rPr>
        <w:t>intent</w:t>
      </w:r>
      <w:proofErr w:type="spellEnd"/>
      <w:r w:rsidRPr="0064710B">
        <w:rPr>
          <w:rFonts w:cstheme="minorHAnsi"/>
          <w:b/>
        </w:rPr>
        <w:t xml:space="preserve"> – OTT – </w:t>
      </w:r>
      <w:r w:rsidR="005A37C6" w:rsidRPr="0064710B">
        <w:rPr>
          <w:rFonts w:cstheme="minorHAnsi"/>
          <w:b/>
        </w:rPr>
        <w:t>Mgr. Michaela Daňková</w:t>
      </w:r>
      <w:r w:rsidRPr="0064710B">
        <w:rPr>
          <w:rFonts w:cstheme="minorHAnsi"/>
          <w:b/>
        </w:rPr>
        <w:t xml:space="preserve"> (</w:t>
      </w:r>
      <w:hyperlink r:id="rId6" w:history="1">
        <w:r w:rsidR="005A37C6" w:rsidRPr="0064710B">
          <w:rPr>
            <w:rStyle w:val="Hypertextovodkaz"/>
            <w:rFonts w:cstheme="minorHAnsi"/>
            <w:b/>
          </w:rPr>
          <w:t>dankovam@vutbr.cz</w:t>
        </w:r>
      </w:hyperlink>
      <w:r w:rsidRPr="0064710B">
        <w:rPr>
          <w:rFonts w:cstheme="minorHAnsi"/>
          <w:b/>
        </w:rPr>
        <w:t>, kl. 422</w:t>
      </w:r>
      <w:r w:rsidR="005A37C6" w:rsidRPr="0064710B">
        <w:rPr>
          <w:rFonts w:cstheme="minorHAnsi"/>
          <w:b/>
        </w:rPr>
        <w:t>8</w:t>
      </w:r>
      <w:r w:rsidRPr="0064710B">
        <w:rPr>
          <w:rFonts w:cstheme="minorHAnsi"/>
          <w:b/>
        </w:rPr>
        <w:t>)</w:t>
      </w:r>
    </w:p>
    <w:p w14:paraId="3515E118" w14:textId="77777777" w:rsidR="00A83F6E" w:rsidRPr="00A83F6E" w:rsidRDefault="00A83F6E" w:rsidP="00A83F6E">
      <w:pPr>
        <w:spacing w:after="0" w:line="240" w:lineRule="auto"/>
        <w:jc w:val="both"/>
        <w:rPr>
          <w:b/>
        </w:rPr>
      </w:pPr>
      <w:r>
        <w:rPr>
          <w:b/>
        </w:rPr>
        <w:t xml:space="preserve">Proces průběhu ochrany duševního vlastnictví (vč. podání přihlášky patentu, užitného vzoru nebo průmyslového vzoru) – JUDr. Iva Horká </w:t>
      </w:r>
      <w:hyperlink r:id="rId7" w:history="1">
        <w:r w:rsidRPr="00880B29">
          <w:rPr>
            <w:rStyle w:val="Hypertextovodkaz"/>
            <w:b/>
          </w:rPr>
          <w:t>horka@vutbr.cz</w:t>
        </w:r>
      </w:hyperlink>
      <w:r>
        <w:rPr>
          <w:b/>
        </w:rPr>
        <w:t xml:space="preserve">, kl.4225; Ing. Jana Ondroušková, </w:t>
      </w:r>
      <w:proofErr w:type="spellStart"/>
      <w:r>
        <w:rPr>
          <w:b/>
        </w:rPr>
        <w:t>Ph.d.</w:t>
      </w:r>
      <w:proofErr w:type="spellEnd"/>
      <w:r>
        <w:rPr>
          <w:b/>
        </w:rPr>
        <w:t xml:space="preserve"> </w:t>
      </w:r>
      <w:hyperlink r:id="rId8" w:history="1">
        <w:r w:rsidRPr="00880B29">
          <w:rPr>
            <w:rStyle w:val="Hypertextovodkaz"/>
            <w:b/>
          </w:rPr>
          <w:t>jana.ondrouskova@vutbr.cz</w:t>
        </w:r>
      </w:hyperlink>
      <w:r>
        <w:rPr>
          <w:b/>
        </w:rPr>
        <w:t xml:space="preserve"> , kl. 4224; Bc. Sára Sepšiová </w:t>
      </w:r>
      <w:hyperlink r:id="rId9" w:history="1">
        <w:r w:rsidRPr="00880B29">
          <w:rPr>
            <w:rStyle w:val="Hypertextovodkaz"/>
            <w:b/>
          </w:rPr>
          <w:t>sepsiova@vutbr.cz</w:t>
        </w:r>
      </w:hyperlink>
      <w:r>
        <w:rPr>
          <w:b/>
        </w:rPr>
        <w:t xml:space="preserve"> , kl. </w:t>
      </w:r>
      <w:proofErr w:type="gramStart"/>
      <w:r>
        <w:rPr>
          <w:b/>
        </w:rPr>
        <w:t>4230 )</w:t>
      </w:r>
      <w:proofErr w:type="gramEnd"/>
    </w:p>
    <w:p w14:paraId="23692059" w14:textId="77777777" w:rsidR="00092A50" w:rsidRDefault="00092A50" w:rsidP="00531DCA">
      <w:pPr>
        <w:rPr>
          <w:rFonts w:cstheme="minorHAnsi"/>
          <w:b/>
        </w:rPr>
      </w:pPr>
    </w:p>
    <w:p w14:paraId="130ACCE1" w14:textId="77777777" w:rsidR="00531DCA" w:rsidRPr="003E169E" w:rsidRDefault="00531DCA" w:rsidP="00531DCA">
      <w:pPr>
        <w:rPr>
          <w:rFonts w:cstheme="minorHAnsi"/>
          <w:b/>
        </w:rPr>
      </w:pPr>
      <w:r w:rsidRPr="0064710B">
        <w:rPr>
          <w:rFonts w:cstheme="minorHAnsi"/>
          <w:b/>
        </w:rPr>
        <w:t xml:space="preserve">Otázka DPH v projektech TAČR – Ing. Romana </w:t>
      </w:r>
      <w:r w:rsidRPr="003E169E">
        <w:rPr>
          <w:rFonts w:cstheme="minorHAnsi"/>
          <w:b/>
        </w:rPr>
        <w:t>Sasková (</w:t>
      </w:r>
      <w:hyperlink r:id="rId10" w:history="1">
        <w:r w:rsidRPr="003E169E">
          <w:rPr>
            <w:rStyle w:val="Hypertextovodkaz"/>
            <w:rFonts w:cstheme="minorHAnsi"/>
            <w:b/>
          </w:rPr>
          <w:t>saskova@vutbr.cz</w:t>
        </w:r>
      </w:hyperlink>
      <w:r w:rsidRPr="003E169E">
        <w:rPr>
          <w:rFonts w:cstheme="minorHAnsi"/>
          <w:b/>
        </w:rPr>
        <w:t>, kl. 5356)</w:t>
      </w:r>
    </w:p>
    <w:p w14:paraId="20627F59" w14:textId="77777777" w:rsidR="00531DCA" w:rsidRPr="0064710B" w:rsidRDefault="00531DCA" w:rsidP="00531DCA">
      <w:pPr>
        <w:rPr>
          <w:rFonts w:cstheme="minorHAnsi"/>
          <w:b/>
        </w:rPr>
      </w:pPr>
      <w:r w:rsidRPr="003E169E">
        <w:rPr>
          <w:rFonts w:cstheme="minorHAnsi"/>
          <w:b/>
        </w:rPr>
        <w:t>Zadání do APOLLA pod programem financování: FW</w:t>
      </w:r>
      <w:r w:rsidR="003E169E" w:rsidRPr="003E169E">
        <w:rPr>
          <w:rFonts w:cstheme="minorHAnsi"/>
          <w:b/>
        </w:rPr>
        <w:t>100</w:t>
      </w:r>
    </w:p>
    <w:p w14:paraId="7DBC483A" w14:textId="77777777" w:rsidR="00531DCA" w:rsidRPr="0064710B" w:rsidRDefault="00531DCA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3B2BE38A" w14:textId="77777777" w:rsidR="00C10D9F" w:rsidRPr="0064710B" w:rsidRDefault="00C10D9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Odkaz na soutěž:</w:t>
      </w:r>
    </w:p>
    <w:p w14:paraId="1DC4F263" w14:textId="77777777" w:rsidR="005D3618" w:rsidRDefault="005512AB" w:rsidP="0057770F">
      <w:hyperlink r:id="rId11" w:history="1">
        <w:r w:rsidR="00A83F6E" w:rsidRPr="00D76CA5">
          <w:rPr>
            <w:rStyle w:val="Hypertextovodkaz"/>
          </w:rPr>
          <w:t>https://www.tacr.cz/soutez/program-trend/desata-verejna-soutez/</w:t>
        </w:r>
      </w:hyperlink>
      <w:r w:rsidR="00A83F6E">
        <w:t xml:space="preserve"> </w:t>
      </w:r>
    </w:p>
    <w:p w14:paraId="27937DDC" w14:textId="77777777" w:rsidR="00A83F6E" w:rsidRDefault="00A83F6E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605015BF" w14:textId="77777777" w:rsidR="00BB3778" w:rsidRPr="0064710B" w:rsidRDefault="00BB3778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7B5F1C65" w14:textId="77777777" w:rsidR="00774823" w:rsidRPr="0064710B" w:rsidRDefault="00774823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3F31DA">
        <w:rPr>
          <w:rFonts w:cstheme="minorHAnsi"/>
          <w:b/>
          <w:color w:val="1F4E79" w:themeColor="accent1" w:themeShade="80"/>
          <w:sz w:val="28"/>
          <w:szCs w:val="28"/>
        </w:rPr>
        <w:lastRenderedPageBreak/>
        <w:t>Zaměření programu:</w:t>
      </w:r>
    </w:p>
    <w:p w14:paraId="0AD150FF" w14:textId="77777777" w:rsidR="00B73D5D" w:rsidRDefault="003F31DA" w:rsidP="002B225D">
      <w:pPr>
        <w:jc w:val="both"/>
      </w:pPr>
      <w:r>
        <w:t xml:space="preserve">Veřejná soutěž je orientována na podporu podniků, které již mají zkušenosti s realizací výzkumu a vývoje vlastními kapacitami (skrze stabilizaci a další rozvoj jejich výzkumných oddělení), a podniků, které mají zkušenost s nákupem </w:t>
      </w:r>
      <w:proofErr w:type="spellStart"/>
      <w:r>
        <w:t>VaV</w:t>
      </w:r>
      <w:proofErr w:type="spellEnd"/>
      <w:r>
        <w:t xml:space="preserve"> služeb od výzkumných organizací, ale zatím nerozvinuly vlastní </w:t>
      </w:r>
      <w:proofErr w:type="spellStart"/>
      <w:r>
        <w:t>VaV</w:t>
      </w:r>
      <w:proofErr w:type="spellEnd"/>
      <w:r>
        <w:t xml:space="preserve"> činnost.</w:t>
      </w:r>
    </w:p>
    <w:p w14:paraId="1B1CF552" w14:textId="77777777" w:rsidR="003F31DA" w:rsidRDefault="003F31DA" w:rsidP="002B225D">
      <w:pPr>
        <w:jc w:val="both"/>
      </w:pPr>
      <w:r>
        <w:t xml:space="preserve">Hlavním cílem programu je zvýšení mezinárodní konkurenceschopnosti podniků, především rozšířením jejich trhů v zahraničí, pronikáním na trhy nové či posunem výše v globálních hodnotových řetězcích. </w:t>
      </w:r>
    </w:p>
    <w:p w14:paraId="40FC047C" w14:textId="77777777" w:rsidR="003F31DA" w:rsidRPr="0064710B" w:rsidRDefault="003F31DA" w:rsidP="002B225D">
      <w:pPr>
        <w:jc w:val="both"/>
        <w:rPr>
          <w:rFonts w:cstheme="minorHAnsi"/>
          <w:b/>
          <w:color w:val="1F4E79" w:themeColor="accent1" w:themeShade="80"/>
          <w:szCs w:val="28"/>
        </w:rPr>
      </w:pPr>
      <w:r>
        <w:t>Podpořeny budou projekty průmyslového výzkumu a experimentálního vývoje, jejichž cílem je zavedení výsledků do praxe, zejména do průmyslové výroby a do nabídky produktů na trhu, projekty rozvíjející nové služby, technologie a materiály, zvyšující míru automatizace a robotizace a využití digitálních technologií.</w:t>
      </w:r>
    </w:p>
    <w:p w14:paraId="1F44DDA5" w14:textId="77777777" w:rsidR="003F31DA" w:rsidRPr="00B45D01" w:rsidRDefault="003F31DA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2FF7B931" w14:textId="77777777" w:rsidR="0057770F" w:rsidRPr="0064710B" w:rsidRDefault="0057770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3F31DA">
        <w:rPr>
          <w:rFonts w:cstheme="minorHAnsi"/>
          <w:b/>
          <w:color w:val="1F4E79" w:themeColor="accent1" w:themeShade="80"/>
          <w:sz w:val="28"/>
          <w:szCs w:val="28"/>
        </w:rPr>
        <w:t>Uchazeči:</w:t>
      </w:r>
    </w:p>
    <w:p w14:paraId="4D8853C2" w14:textId="77777777" w:rsidR="00B73D5D" w:rsidRPr="0064710B" w:rsidRDefault="00B73D5D" w:rsidP="00B73D5D">
      <w:pPr>
        <w:rPr>
          <w:rFonts w:cstheme="minorHAnsi"/>
          <w:b/>
        </w:rPr>
      </w:pPr>
      <w:r w:rsidRPr="0064710B">
        <w:rPr>
          <w:rFonts w:cstheme="minorHAnsi"/>
          <w:b/>
        </w:rPr>
        <w:t xml:space="preserve">Každý uchazeč (hlavní uchazeč, další účastníci) musí pro určení maximální intenzity podpory zvolit jeden z následujících typů uchazeče: </w:t>
      </w:r>
    </w:p>
    <w:p w14:paraId="020213D8" w14:textId="77777777" w:rsidR="00B73D5D" w:rsidRPr="0064710B" w:rsidRDefault="00B73D5D" w:rsidP="00B73D5D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64710B">
        <w:rPr>
          <w:rFonts w:cstheme="minorHAnsi"/>
        </w:rPr>
        <w:t xml:space="preserve">výzkumná organizace; </w:t>
      </w:r>
    </w:p>
    <w:p w14:paraId="24BFFB32" w14:textId="77777777" w:rsidR="00697433" w:rsidRPr="0064710B" w:rsidRDefault="00B73D5D" w:rsidP="0057770F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64710B">
        <w:rPr>
          <w:rFonts w:cstheme="minorHAnsi"/>
        </w:rPr>
        <w:t xml:space="preserve">podnik – malý, střední, velký. </w:t>
      </w:r>
    </w:p>
    <w:p w14:paraId="741469B5" w14:textId="77777777" w:rsidR="003F31DA" w:rsidRDefault="003F31DA" w:rsidP="0057770F">
      <w:r w:rsidRPr="00BB3778">
        <w:rPr>
          <w:b/>
          <w:color w:val="FF0000"/>
        </w:rPr>
        <w:t>Hlavním uchazečem může být pouze podnik</w:t>
      </w:r>
      <w:r>
        <w:t xml:space="preserve">, který řeší projekt samostatně, a/nebo řeší projekt ve spolupráci s dalšími podniky a/nebo ve spolupráci s výzkumnými organizacemi (formou kolaborativního výzkumu v souladu s Rámcem). </w:t>
      </w:r>
    </w:p>
    <w:p w14:paraId="4E282C9B" w14:textId="77777777" w:rsidR="003F31DA" w:rsidRDefault="003F31DA" w:rsidP="0057770F">
      <w:r>
        <w:t xml:space="preserve">Hlavní uchazeč může podat maximálně </w:t>
      </w:r>
      <w:r w:rsidRPr="00BB3778">
        <w:rPr>
          <w:b/>
          <w:color w:val="FF0000"/>
        </w:rPr>
        <w:t>1 návrh projektu</w:t>
      </w:r>
      <w:r w:rsidRPr="00BB3778">
        <w:rPr>
          <w:color w:val="FF0000"/>
        </w:rPr>
        <w:t xml:space="preserve"> </w:t>
      </w:r>
      <w:r>
        <w:t xml:space="preserve">do této veřejné soutěže. </w:t>
      </w:r>
    </w:p>
    <w:p w14:paraId="764406DB" w14:textId="77777777" w:rsidR="003F31DA" w:rsidRDefault="003F31DA" w:rsidP="0057770F">
      <w:pPr>
        <w:rPr>
          <w:rFonts w:cstheme="minorHAnsi"/>
          <w:b/>
        </w:rPr>
      </w:pPr>
      <w:r>
        <w:t xml:space="preserve">Hlavní uchazeč musí prokázat </w:t>
      </w:r>
      <w:r w:rsidRPr="00BB3778">
        <w:rPr>
          <w:b/>
          <w:color w:val="FF0000"/>
        </w:rPr>
        <w:t>dvouletou účetní historii</w:t>
      </w:r>
      <w:r w:rsidRPr="00BB3778">
        <w:rPr>
          <w:color w:val="FF0000"/>
        </w:rPr>
        <w:t xml:space="preserve"> </w:t>
      </w:r>
      <w:r>
        <w:t>(min. dvě zveřejněné roční účetní závěrky v obchodním rejstříku).</w:t>
      </w:r>
    </w:p>
    <w:p w14:paraId="2AC7E384" w14:textId="77777777" w:rsidR="003F31DA" w:rsidRPr="0064710B" w:rsidRDefault="003F31DA" w:rsidP="0057770F">
      <w:pPr>
        <w:rPr>
          <w:rFonts w:cstheme="minorHAnsi"/>
          <w:b/>
          <w:color w:val="1F4E79" w:themeColor="accent1" w:themeShade="80"/>
        </w:rPr>
      </w:pPr>
    </w:p>
    <w:p w14:paraId="516FFE6B" w14:textId="77777777" w:rsidR="00774823" w:rsidRPr="0064710B" w:rsidRDefault="00774823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Výstupy/výsledky:</w:t>
      </w:r>
    </w:p>
    <w:p w14:paraId="508022F1" w14:textId="77777777" w:rsidR="003145D6" w:rsidRPr="0064710B" w:rsidRDefault="003145D6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</w:rPr>
        <w:t>V této veřejné soutěži může TA ČR podporovat pouze návrhy projektů, kde se předpokládá uplatnění výstupů/výsledků do praxe. V každém návrhu projektu musí být zvolen minimálně jeden hlavní výstup/výsledek</w:t>
      </w:r>
    </w:p>
    <w:p w14:paraId="5EC949BF" w14:textId="77777777" w:rsidR="00774823" w:rsidRPr="0064710B" w:rsidRDefault="00774823" w:rsidP="0057770F">
      <w:pPr>
        <w:rPr>
          <w:rFonts w:cstheme="minorHAnsi"/>
          <w:i/>
          <w:u w:val="single"/>
        </w:rPr>
      </w:pPr>
      <w:r w:rsidRPr="0064710B">
        <w:rPr>
          <w:rFonts w:cstheme="minorHAnsi"/>
          <w:i/>
          <w:u w:val="single"/>
        </w:rPr>
        <w:t>Hlavní výstupy:</w:t>
      </w:r>
    </w:p>
    <w:p w14:paraId="6B1F0830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Fprum</w:t>
      </w:r>
      <w:proofErr w:type="spellEnd"/>
      <w:r w:rsidRPr="0064710B">
        <w:rPr>
          <w:rFonts w:cstheme="minorHAnsi"/>
        </w:rPr>
        <w:t xml:space="preserve"> průmyslový vzor, </w:t>
      </w:r>
    </w:p>
    <w:p w14:paraId="208A178B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Fuzit</w:t>
      </w:r>
      <w:proofErr w:type="spellEnd"/>
      <w:r w:rsidRPr="0064710B">
        <w:rPr>
          <w:rFonts w:cstheme="minorHAnsi"/>
        </w:rPr>
        <w:t xml:space="preserve"> užitný vzor, </w:t>
      </w:r>
    </w:p>
    <w:p w14:paraId="6CB5FDF2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Gprot</w:t>
      </w:r>
      <w:proofErr w:type="spellEnd"/>
      <w:r w:rsidRPr="0064710B">
        <w:rPr>
          <w:rFonts w:cstheme="minorHAnsi"/>
        </w:rPr>
        <w:t xml:space="preserve"> prototyp, </w:t>
      </w:r>
    </w:p>
    <w:p w14:paraId="1CDC0D93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Gfunk</w:t>
      </w:r>
      <w:proofErr w:type="spellEnd"/>
      <w:r w:rsidRPr="0064710B">
        <w:rPr>
          <w:rFonts w:cstheme="minorHAnsi"/>
        </w:rPr>
        <w:t xml:space="preserve"> funkční vzorek, </w:t>
      </w:r>
    </w:p>
    <w:p w14:paraId="4101802B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64710B">
        <w:rPr>
          <w:rFonts w:cstheme="minorHAnsi"/>
        </w:rPr>
        <w:t xml:space="preserve">R software, </w:t>
      </w:r>
    </w:p>
    <w:p w14:paraId="719EBB33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Zpolop</w:t>
      </w:r>
      <w:proofErr w:type="spellEnd"/>
      <w:r w:rsidRPr="0064710B">
        <w:rPr>
          <w:rFonts w:cstheme="minorHAnsi"/>
        </w:rPr>
        <w:t xml:space="preserve"> poloprovoz, </w:t>
      </w:r>
    </w:p>
    <w:p w14:paraId="71807B9A" w14:textId="77777777" w:rsidR="00010C58" w:rsidRDefault="00774823" w:rsidP="00B45D01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Ztech</w:t>
      </w:r>
      <w:proofErr w:type="spellEnd"/>
      <w:r w:rsidRPr="0064710B">
        <w:rPr>
          <w:rFonts w:cstheme="minorHAnsi"/>
        </w:rPr>
        <w:t xml:space="preserve"> ověřená technologie</w:t>
      </w:r>
    </w:p>
    <w:p w14:paraId="6912A852" w14:textId="77777777" w:rsidR="00B45D01" w:rsidRDefault="00B45D01" w:rsidP="00B45D01">
      <w:pPr>
        <w:pStyle w:val="Odstavecseseznamem"/>
        <w:rPr>
          <w:rFonts w:cstheme="minorHAnsi"/>
        </w:rPr>
      </w:pPr>
    </w:p>
    <w:p w14:paraId="0BD048DB" w14:textId="77777777" w:rsidR="00BB3778" w:rsidRPr="00B45D01" w:rsidRDefault="00BB3778" w:rsidP="00B45D01">
      <w:pPr>
        <w:pStyle w:val="Odstavecseseznamem"/>
        <w:rPr>
          <w:rFonts w:cstheme="minorHAnsi"/>
        </w:rPr>
      </w:pPr>
    </w:p>
    <w:p w14:paraId="50879EB9" w14:textId="77777777"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lastRenderedPageBreak/>
        <w:t>Další výstupy, které je možné dosáhnout v kombinaci s výše uvedenými:</w:t>
      </w:r>
    </w:p>
    <w:p w14:paraId="7DE0FCA4" w14:textId="77777777"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NmetA</w:t>
      </w:r>
      <w:proofErr w:type="spellEnd"/>
      <w:r w:rsidRPr="000036D5">
        <w:t xml:space="preserve"> metodiky a postupy akreditované oprávněným orgánem, </w:t>
      </w:r>
    </w:p>
    <w:p w14:paraId="3B490CD3" w14:textId="77777777"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NmetC</w:t>
      </w:r>
      <w:proofErr w:type="spellEnd"/>
      <w:r w:rsidRPr="000036D5">
        <w:t xml:space="preserve"> metodika certifikovaná oprávněným orgánem, </w:t>
      </w:r>
    </w:p>
    <w:p w14:paraId="7C7DCE32" w14:textId="77777777" w:rsidR="005A37C6" w:rsidRDefault="00774823" w:rsidP="005A485D">
      <w:pPr>
        <w:pStyle w:val="Odstavecseseznamem"/>
        <w:numPr>
          <w:ilvl w:val="0"/>
          <w:numId w:val="12"/>
        </w:numPr>
        <w:spacing w:after="0"/>
      </w:pPr>
      <w:proofErr w:type="spellStart"/>
      <w:r w:rsidRPr="000036D5">
        <w:t>NmetS</w:t>
      </w:r>
      <w:proofErr w:type="spellEnd"/>
      <w:r w:rsidRPr="000036D5">
        <w:t xml:space="preserve"> metodika schválená příslušným orgánem státní správy, do jehož kompetence daná problematika spadá</w:t>
      </w:r>
      <w:r w:rsidR="004540B9" w:rsidRPr="000036D5">
        <w:t xml:space="preserve">, </w:t>
      </w:r>
    </w:p>
    <w:p w14:paraId="015C4250" w14:textId="77777777" w:rsidR="005A37C6" w:rsidRDefault="00774823" w:rsidP="005A485D">
      <w:pPr>
        <w:pStyle w:val="Odstavecseseznamem"/>
        <w:numPr>
          <w:ilvl w:val="0"/>
          <w:numId w:val="12"/>
        </w:numPr>
        <w:spacing w:after="0"/>
      </w:pPr>
      <w:r w:rsidRPr="000036D5">
        <w:t>P patent</w:t>
      </w:r>
      <w:r w:rsidR="000036D5" w:rsidRPr="000036D5">
        <w:t xml:space="preserve">, </w:t>
      </w:r>
    </w:p>
    <w:p w14:paraId="4B68AB23" w14:textId="77777777" w:rsidR="00774823" w:rsidRPr="005A37C6" w:rsidRDefault="0044320D" w:rsidP="005A485D">
      <w:pPr>
        <w:pStyle w:val="Odstavecseseznamem"/>
        <w:numPr>
          <w:ilvl w:val="0"/>
          <w:numId w:val="12"/>
        </w:numPr>
        <w:spacing w:after="0"/>
        <w:rPr>
          <w:b/>
          <w:color w:val="1F4E79" w:themeColor="accent1" w:themeShade="80"/>
          <w:sz w:val="28"/>
          <w:szCs w:val="28"/>
        </w:rPr>
      </w:pPr>
      <w:r>
        <w:t>O</w:t>
      </w:r>
      <w:r w:rsidR="000036D5" w:rsidRPr="000036D5">
        <w:t>– ostatní výsledky.</w:t>
      </w:r>
    </w:p>
    <w:p w14:paraId="097A40C6" w14:textId="77777777" w:rsidR="005A485D" w:rsidRPr="001923C1" w:rsidRDefault="005A485D" w:rsidP="00B45D01">
      <w:pPr>
        <w:rPr>
          <w:highlight w:val="yellow"/>
        </w:rPr>
      </w:pPr>
    </w:p>
    <w:p w14:paraId="3213AFD1" w14:textId="77777777"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3F31DA">
        <w:rPr>
          <w:b/>
          <w:color w:val="1F4E79" w:themeColor="accent1" w:themeShade="80"/>
          <w:sz w:val="28"/>
          <w:szCs w:val="28"/>
        </w:rPr>
        <w:t>Základní finanční údaje</w:t>
      </w:r>
    </w:p>
    <w:p w14:paraId="384CAE22" w14:textId="77777777" w:rsidR="0057770F" w:rsidRPr="000036D5" w:rsidRDefault="0057770F" w:rsidP="007C2781">
      <w:pPr>
        <w:spacing w:line="100" w:lineRule="atLeast"/>
        <w:rPr>
          <w:b/>
        </w:rPr>
      </w:pPr>
      <w:r w:rsidRPr="005A37C6">
        <w:t xml:space="preserve">Alokace soutěže </w:t>
      </w:r>
      <w:r w:rsidR="00AB60CA" w:rsidRPr="005A37C6">
        <w:rPr>
          <w:b/>
        </w:rPr>
        <w:t>–</w:t>
      </w:r>
      <w:r w:rsidRPr="005A37C6">
        <w:rPr>
          <w:b/>
        </w:rPr>
        <w:t xml:space="preserve"> </w:t>
      </w:r>
      <w:r w:rsidR="003F31DA">
        <w:rPr>
          <w:b/>
        </w:rPr>
        <w:t>1,35</w:t>
      </w:r>
      <w:r w:rsidR="002E1ECA">
        <w:rPr>
          <w:b/>
        </w:rPr>
        <w:t xml:space="preserve"> </w:t>
      </w:r>
      <w:r w:rsidR="00697433">
        <w:rPr>
          <w:b/>
        </w:rPr>
        <w:t>m</w:t>
      </w:r>
      <w:r w:rsidR="003F31DA">
        <w:rPr>
          <w:b/>
        </w:rPr>
        <w:t>ld</w:t>
      </w:r>
      <w:r w:rsidR="00697433">
        <w:rPr>
          <w:b/>
        </w:rPr>
        <w:t>.</w:t>
      </w:r>
      <w:r w:rsidR="00AB60CA" w:rsidRPr="005A37C6">
        <w:rPr>
          <w:b/>
        </w:rPr>
        <w:t xml:space="preserve"> Kč</w:t>
      </w:r>
      <w:r w:rsidR="003F31DA">
        <w:rPr>
          <w:b/>
        </w:rPr>
        <w:t xml:space="preserve"> (alokace může být navýšena)</w:t>
      </w:r>
    </w:p>
    <w:p w14:paraId="70C11395" w14:textId="77777777" w:rsidR="0057770F" w:rsidRPr="000036D5" w:rsidRDefault="0057770F" w:rsidP="007C2781">
      <w:pPr>
        <w:spacing w:line="100" w:lineRule="atLeast"/>
        <w:rPr>
          <w:b/>
        </w:rPr>
      </w:pPr>
      <w:r w:rsidRPr="000036D5">
        <w:t>Maximální částka podpory na jeden projekt -</w:t>
      </w:r>
      <w:r w:rsidR="00697433">
        <w:t xml:space="preserve"> </w:t>
      </w:r>
      <w:r w:rsidR="00A83F6E">
        <w:rPr>
          <w:b/>
        </w:rPr>
        <w:t>2</w:t>
      </w:r>
      <w:r w:rsidR="005A37C6">
        <w:rPr>
          <w:b/>
        </w:rPr>
        <w:t>5</w:t>
      </w:r>
      <w:r w:rsidRPr="000036D5">
        <w:rPr>
          <w:b/>
        </w:rPr>
        <w:t xml:space="preserve"> mil. Kč</w:t>
      </w:r>
    </w:p>
    <w:p w14:paraId="3A19350A" w14:textId="77777777" w:rsidR="0057770F" w:rsidRPr="001923C1" w:rsidRDefault="0057770F" w:rsidP="007C2781">
      <w:pPr>
        <w:spacing w:line="100" w:lineRule="atLeast"/>
        <w:rPr>
          <w:b/>
        </w:rPr>
      </w:pPr>
      <w:r w:rsidRPr="000036D5">
        <w:t>Maximální intenzita podpory na projekt</w:t>
      </w:r>
      <w:r w:rsidR="00D66035" w:rsidRPr="000036D5">
        <w:t xml:space="preserve"> - </w:t>
      </w:r>
      <w:r w:rsidR="00A83F6E">
        <w:rPr>
          <w:b/>
        </w:rPr>
        <w:t>7</w:t>
      </w:r>
      <w:r w:rsidR="005A37C6">
        <w:rPr>
          <w:b/>
        </w:rPr>
        <w:t>0</w:t>
      </w:r>
      <w:r w:rsidRPr="000036D5">
        <w:rPr>
          <w:b/>
        </w:rPr>
        <w:t xml:space="preserve"> %</w:t>
      </w:r>
    </w:p>
    <w:p w14:paraId="7414887C" w14:textId="77777777" w:rsidR="00F95735" w:rsidRPr="00C26B84" w:rsidRDefault="00D66035" w:rsidP="00C26B84">
      <w:pPr>
        <w:spacing w:line="100" w:lineRule="atLeast"/>
        <w:rPr>
          <w:b/>
        </w:rPr>
      </w:pPr>
      <w:r w:rsidRPr="002B225D">
        <w:rPr>
          <w:b/>
        </w:rPr>
        <w:t xml:space="preserve">Maximální intenzita podpory pro výzkumnou organizaci </w:t>
      </w:r>
      <w:proofErr w:type="gramStart"/>
      <w:r w:rsidRPr="002B225D">
        <w:rPr>
          <w:b/>
        </w:rPr>
        <w:t xml:space="preserve">-  </w:t>
      </w:r>
      <w:r w:rsidR="00D70187" w:rsidRPr="002B225D">
        <w:rPr>
          <w:b/>
        </w:rPr>
        <w:t>90</w:t>
      </w:r>
      <w:proofErr w:type="gramEnd"/>
      <w:r w:rsidRPr="002B225D">
        <w:rPr>
          <w:b/>
        </w:rPr>
        <w:t>%</w:t>
      </w:r>
    </w:p>
    <w:p w14:paraId="52C504AB" w14:textId="77777777" w:rsidR="00F55C70" w:rsidRPr="0064710B" w:rsidRDefault="00F55C70" w:rsidP="00525099">
      <w:pPr>
        <w:rPr>
          <w:b/>
          <w:color w:val="1F4E79" w:themeColor="accent1" w:themeShade="80"/>
          <w:szCs w:val="28"/>
        </w:rPr>
      </w:pPr>
    </w:p>
    <w:p w14:paraId="6B50E544" w14:textId="77777777" w:rsidR="00FE3CFC" w:rsidRPr="00525099" w:rsidRDefault="00FE3CFC" w:rsidP="00525099">
      <w:pPr>
        <w:rPr>
          <w:b/>
          <w:color w:val="1F4E79" w:themeColor="accent1" w:themeShade="80"/>
          <w:sz w:val="28"/>
          <w:szCs w:val="28"/>
        </w:rPr>
      </w:pPr>
      <w:r w:rsidRPr="003F31DA">
        <w:rPr>
          <w:b/>
          <w:color w:val="1F4E79" w:themeColor="accent1" w:themeShade="80"/>
          <w:sz w:val="28"/>
          <w:szCs w:val="28"/>
        </w:rPr>
        <w:t>Způsobilé náklady:</w:t>
      </w:r>
      <w:r w:rsidRPr="00525099">
        <w:rPr>
          <w:b/>
          <w:color w:val="1F4E79" w:themeColor="accent1" w:themeShade="80"/>
          <w:sz w:val="28"/>
          <w:szCs w:val="28"/>
        </w:rPr>
        <w:t xml:space="preserve">  </w:t>
      </w:r>
    </w:p>
    <w:p w14:paraId="1978570B" w14:textId="77777777" w:rsidR="005A37C6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>osobní náklady</w:t>
      </w:r>
      <w:r w:rsidR="004540B9" w:rsidRPr="00B73D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005DB" w14:textId="77777777" w:rsidR="00FE3CFC" w:rsidRPr="00B73D5D" w:rsidRDefault="004540B9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>stipendi</w:t>
      </w:r>
      <w:r w:rsidR="005A37C6" w:rsidRPr="00B73D5D">
        <w:rPr>
          <w:rFonts w:asciiTheme="minorHAnsi" w:hAnsiTheme="minorHAnsi" w:cstheme="minorHAnsi"/>
          <w:sz w:val="22"/>
          <w:szCs w:val="22"/>
        </w:rPr>
        <w:t>a</w:t>
      </w:r>
      <w:r w:rsidRPr="00B73D5D">
        <w:rPr>
          <w:rFonts w:asciiTheme="minorHAnsi" w:hAnsiTheme="minorHAnsi" w:cstheme="minorHAnsi"/>
          <w:sz w:val="22"/>
          <w:szCs w:val="22"/>
        </w:rPr>
        <w:t xml:space="preserve"> (</w:t>
      </w:r>
      <w:r w:rsidRPr="00B73D5D">
        <w:rPr>
          <w:rFonts w:asciiTheme="minorHAnsi" w:hAnsiTheme="minorHAnsi" w:cstheme="minorHAnsi"/>
          <w:b/>
          <w:sz w:val="22"/>
          <w:szCs w:val="22"/>
        </w:rPr>
        <w:t>na VUT není tento náklad doporučován!)</w:t>
      </w:r>
      <w:r w:rsidR="00FE3CFC" w:rsidRPr="00B73D5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3DD79A0" w14:textId="77777777" w:rsidR="00FE3CFC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14:paraId="728FCB82" w14:textId="77777777" w:rsidR="00FE3CFC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14:paraId="117F3902" w14:textId="77777777" w:rsidR="004129C7" w:rsidRPr="00BB3778" w:rsidRDefault="00FE3CFC" w:rsidP="009F5B0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B3778">
        <w:rPr>
          <w:rFonts w:asciiTheme="minorHAnsi" w:hAnsiTheme="minorHAnsi" w:cstheme="minorHAnsi"/>
          <w:b/>
          <w:color w:val="FF0000"/>
          <w:sz w:val="22"/>
          <w:szCs w:val="22"/>
        </w:rPr>
        <w:t>nepřímé náklady</w:t>
      </w:r>
      <w:r w:rsidR="004540B9" w:rsidRPr="00BB377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103A81" w:rsidRPr="00BB377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pouze metodou </w:t>
      </w:r>
      <w:r w:rsidR="004540B9" w:rsidRPr="00BB3778">
        <w:rPr>
          <w:rFonts w:asciiTheme="minorHAnsi" w:hAnsiTheme="minorHAnsi" w:cstheme="minorHAnsi"/>
          <w:b/>
          <w:color w:val="FF0000"/>
          <w:sz w:val="22"/>
          <w:szCs w:val="22"/>
        </w:rPr>
        <w:t>FLATE RATE 2</w:t>
      </w:r>
      <w:r w:rsidR="00103A81" w:rsidRPr="00BB3778">
        <w:rPr>
          <w:rFonts w:asciiTheme="minorHAnsi" w:hAnsiTheme="minorHAnsi" w:cstheme="minorHAnsi"/>
          <w:b/>
          <w:color w:val="FF0000"/>
          <w:sz w:val="22"/>
          <w:szCs w:val="22"/>
        </w:rPr>
        <w:t>0</w:t>
      </w:r>
      <w:r w:rsidR="004540B9" w:rsidRPr="00BB3778">
        <w:rPr>
          <w:rFonts w:asciiTheme="minorHAnsi" w:hAnsiTheme="minorHAnsi" w:cstheme="minorHAnsi"/>
          <w:b/>
          <w:color w:val="FF0000"/>
          <w:sz w:val="22"/>
          <w:szCs w:val="22"/>
        </w:rPr>
        <w:t>%</w:t>
      </w:r>
      <w:r w:rsidRPr="00BB377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103A81" w:rsidRPr="00BB377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8BAC217" w14:textId="77777777" w:rsidR="00FE3CFC" w:rsidRPr="00BB3778" w:rsidRDefault="00BB3778" w:rsidP="0057770F">
      <w:pPr>
        <w:rPr>
          <w:b/>
          <w:color w:val="FF0000"/>
        </w:rPr>
      </w:pPr>
      <w:r w:rsidRPr="00BB3778">
        <w:rPr>
          <w:b/>
          <w:color w:val="FF0000"/>
        </w:rPr>
        <w:t>DPH není způsobilý výdaj!</w:t>
      </w:r>
    </w:p>
    <w:p w14:paraId="0FB4C752" w14:textId="77777777" w:rsidR="00BB3778" w:rsidRPr="004540B9" w:rsidRDefault="00BB3778" w:rsidP="0057770F">
      <w:pPr>
        <w:rPr>
          <w:b/>
        </w:rPr>
      </w:pPr>
    </w:p>
    <w:p w14:paraId="254F5BE6" w14:textId="77777777" w:rsidR="00894BEB" w:rsidRPr="00525099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14:paraId="7085487D" w14:textId="77777777" w:rsidR="004540B9" w:rsidRDefault="004540B9" w:rsidP="004540B9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12" w:history="1">
        <w:r w:rsidR="00103A81" w:rsidRPr="00626B61">
          <w:rPr>
            <w:rStyle w:val="Hypertextovodkaz"/>
          </w:rPr>
          <w:t>https://ista.tacr.cz/ISTA/action/Dashboard/ExternalNew/?actionId=6798826730857997&amp;ts=1651134055512&amp;hash=/PRnciOWYPGy0ZuRTsNaKYXfoMOiF9jN8xXBwm4AbZU=&amp;nbl=true&amp;uselastresult=true&amp;_browserSessionID=&amp;lang</w:t>
        </w:r>
      </w:hyperlink>
      <w:r w:rsidR="00103A81" w:rsidRPr="00103A81">
        <w:t>=</w:t>
      </w:r>
      <w:r w:rsidR="00103A81">
        <w:t xml:space="preserve"> </w:t>
      </w:r>
    </w:p>
    <w:p w14:paraId="443ADD9E" w14:textId="77777777" w:rsidR="00697433" w:rsidRPr="00BF0F25" w:rsidRDefault="00697433" w:rsidP="0057770F">
      <w:pPr>
        <w:rPr>
          <w:b/>
          <w:highlight w:val="yellow"/>
        </w:rPr>
      </w:pPr>
    </w:p>
    <w:p w14:paraId="2154DA21" w14:textId="77777777" w:rsidR="00894BEB" w:rsidRPr="000036D5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0036D5">
        <w:rPr>
          <w:b/>
          <w:color w:val="1F4E79" w:themeColor="accent1" w:themeShade="80"/>
          <w:sz w:val="28"/>
          <w:szCs w:val="28"/>
        </w:rPr>
        <w:t>Požadavky na způsobilost:</w:t>
      </w:r>
    </w:p>
    <w:p w14:paraId="4F40F4C3" w14:textId="77777777" w:rsidR="004540B9" w:rsidRPr="000036D5" w:rsidRDefault="004540B9" w:rsidP="001F1840">
      <w:pPr>
        <w:jc w:val="both"/>
        <w:rPr>
          <w:b/>
        </w:rPr>
      </w:pPr>
      <w:r w:rsidRPr="000036D5">
        <w:rPr>
          <w:b/>
        </w:rPr>
        <w:t xml:space="preserve">Čestné prohlášení za uchazeče – bude zajištěno rektorátem prostřednictvím datové schránky centrálně za všechny projekty ve lhůtě stanovené poskytovatelem. </w:t>
      </w:r>
      <w:r w:rsidRPr="000036D5">
        <w:t>Všichni uchazeči musí zaslat ČP o prokázání způsobilosti uchazeče ze své datové schránky a v kolonce Věc musí být uvedeno</w:t>
      </w:r>
      <w:r w:rsidRPr="003F31DA">
        <w:rPr>
          <w:b/>
        </w:rPr>
        <w:t>: „</w:t>
      </w:r>
      <w:r w:rsidR="003F31DA" w:rsidRPr="003F31DA">
        <w:rPr>
          <w:b/>
        </w:rPr>
        <w:t xml:space="preserve">10. veřejná soutěž programu TREND, </w:t>
      </w:r>
      <w:proofErr w:type="gramStart"/>
      <w:r w:rsidR="003F31DA" w:rsidRPr="003F31DA">
        <w:rPr>
          <w:b/>
        </w:rPr>
        <w:t>PP1 - Prokázání</w:t>
      </w:r>
      <w:proofErr w:type="gramEnd"/>
      <w:r w:rsidR="003F31DA" w:rsidRPr="003F31DA">
        <w:rPr>
          <w:b/>
        </w:rPr>
        <w:t xml:space="preserve"> způsobilosti</w:t>
      </w:r>
      <w:r w:rsidRPr="003F31DA">
        <w:rPr>
          <w:b/>
        </w:rPr>
        <w:t>“.</w:t>
      </w:r>
      <w:r w:rsidRPr="000036D5">
        <w:rPr>
          <w:b/>
        </w:rPr>
        <w:t xml:space="preserve"> </w:t>
      </w:r>
      <w:r w:rsidRPr="001F1840">
        <w:t>Zahraniční uchazeči</w:t>
      </w:r>
      <w:r w:rsidR="000036D5" w:rsidRPr="001F1840">
        <w:t xml:space="preserve"> nebo ti, kteří nemají datovou schránku</w:t>
      </w:r>
      <w:r w:rsidRPr="001F1840">
        <w:t xml:space="preserve"> zašlou doklady prokazující způsobilost v listinné podobě.</w:t>
      </w:r>
      <w:r w:rsidRPr="000036D5">
        <w:rPr>
          <w:b/>
        </w:rPr>
        <w:t xml:space="preserve"> </w:t>
      </w:r>
    </w:p>
    <w:p w14:paraId="09FAAF57" w14:textId="77777777" w:rsidR="00894BEB" w:rsidRDefault="004540B9" w:rsidP="001F1840">
      <w:pPr>
        <w:jc w:val="both"/>
        <w:rPr>
          <w:b/>
        </w:rPr>
      </w:pPr>
      <w:r w:rsidRPr="000036D5">
        <w:rPr>
          <w:b/>
        </w:rPr>
        <w:t>VUT splňuje povinnost zveřejnit účetní závěrku tím, že vydává výroční zprávu o hospodaření.</w:t>
      </w:r>
    </w:p>
    <w:p w14:paraId="71254F8E" w14:textId="77777777" w:rsidR="00AA343B" w:rsidRPr="00C26B84" w:rsidRDefault="00AA343B" w:rsidP="001F1840">
      <w:pPr>
        <w:jc w:val="both"/>
        <w:rPr>
          <w:b/>
        </w:rPr>
      </w:pPr>
      <w:r w:rsidRPr="00C26B84">
        <w:rPr>
          <w:b/>
        </w:rPr>
        <w:lastRenderedPageBreak/>
        <w:t>Uchazeči musí být zapsaní v evidenci skutečných majitelů. Pokud uchazeč není zapsán v evidenci skutečných majitelů do termínu konce soutěžní lhůty, tedy do</w:t>
      </w:r>
      <w:r w:rsidR="00B73D5D" w:rsidRPr="00C26B84">
        <w:rPr>
          <w:b/>
        </w:rPr>
        <w:t xml:space="preserve"> </w:t>
      </w:r>
      <w:r w:rsidR="003F31DA" w:rsidRPr="00C26B84">
        <w:rPr>
          <w:b/>
        </w:rPr>
        <w:t>24</w:t>
      </w:r>
      <w:r w:rsidRPr="00C26B84">
        <w:rPr>
          <w:b/>
        </w:rPr>
        <w:t>.</w:t>
      </w:r>
      <w:r w:rsidR="00B73D5D" w:rsidRPr="00C26B84">
        <w:rPr>
          <w:b/>
        </w:rPr>
        <w:t xml:space="preserve"> </w:t>
      </w:r>
      <w:r w:rsidR="003F31DA" w:rsidRPr="00C26B84">
        <w:rPr>
          <w:b/>
        </w:rPr>
        <w:t>5</w:t>
      </w:r>
      <w:r w:rsidRPr="00C26B84">
        <w:rPr>
          <w:b/>
        </w:rPr>
        <w:t>. 202</w:t>
      </w:r>
      <w:r w:rsidR="00B73D5D" w:rsidRPr="00C26B84">
        <w:rPr>
          <w:b/>
        </w:rPr>
        <w:t>3</w:t>
      </w:r>
      <w:r w:rsidRPr="00C26B84">
        <w:rPr>
          <w:b/>
        </w:rPr>
        <w:t>, nepřijme TA ČR návrh projektu do veřejné soutěže.</w:t>
      </w:r>
    </w:p>
    <w:p w14:paraId="3F69E835" w14:textId="77777777" w:rsidR="00B73D5D" w:rsidRPr="0064710B" w:rsidRDefault="00B73D5D" w:rsidP="004540B9">
      <w:pPr>
        <w:rPr>
          <w:b/>
          <w:color w:val="1F4E79" w:themeColor="accent1" w:themeShade="80"/>
          <w:szCs w:val="28"/>
        </w:rPr>
      </w:pPr>
    </w:p>
    <w:p w14:paraId="5CFE0933" w14:textId="77777777" w:rsidR="00B73D5D" w:rsidRPr="00B73D5D" w:rsidRDefault="00B73D5D" w:rsidP="004540B9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Vymezení vůči vlastním obdobným projektům</w:t>
      </w:r>
      <w:r w:rsidRPr="00525099">
        <w:rPr>
          <w:b/>
          <w:color w:val="1F4E79" w:themeColor="accent1" w:themeShade="80"/>
          <w:sz w:val="28"/>
          <w:szCs w:val="28"/>
        </w:rPr>
        <w:t>:</w:t>
      </w:r>
    </w:p>
    <w:p w14:paraId="18B3E277" w14:textId="77777777" w:rsidR="00B73D5D" w:rsidRDefault="00B73D5D" w:rsidP="004540B9">
      <w:r>
        <w:t>Uchazeči (zejména v případě shody klíčové osoby v řešitelském týmu a v případě podobného zaměření návrhu projektu) jsou povinni uvést vlastní:</w:t>
      </w:r>
    </w:p>
    <w:p w14:paraId="4803A926" w14:textId="77777777" w:rsidR="00B73D5D" w:rsidRDefault="00B73D5D" w:rsidP="004540B9">
      <w:r>
        <w:t xml:space="preserve"> • ukončené projekty, pokud plánované výstupy/výsledky návrhu projektu na ně navazují, a tuto návaznost popsat; </w:t>
      </w:r>
    </w:p>
    <w:p w14:paraId="4F7D004E" w14:textId="77777777" w:rsidR="00B73D5D" w:rsidRDefault="00B73D5D" w:rsidP="004540B9">
      <w:r>
        <w:t>• aktuálně řešené související projekty a popsat odlišnosti mezi těmito projekty s návrhem projektu podávaným do této veřejné soutěže;</w:t>
      </w:r>
    </w:p>
    <w:p w14:paraId="09818096" w14:textId="77777777" w:rsidR="00B73D5D" w:rsidRDefault="00B73D5D" w:rsidP="004540B9">
      <w:r>
        <w:t xml:space="preserve"> • návrhy projektů souběžně podávané do této či jiných veřejných soutěží, kdy by při současném podpoření nedocházelo </w:t>
      </w:r>
      <w:proofErr w:type="gramStart"/>
      <w:r>
        <w:t>k</w:t>
      </w:r>
      <w:proofErr w:type="gramEnd"/>
      <w:r>
        <w:t xml:space="preserve"> dvojímu financování. V tomto případě je nutné popsat odlišnosti mezi těmito projekty; </w:t>
      </w:r>
    </w:p>
    <w:p w14:paraId="482EC293" w14:textId="77777777" w:rsidR="00B73D5D" w:rsidRDefault="00B73D5D" w:rsidP="004540B9">
      <w:r>
        <w:t xml:space="preserve">• návrhy projektů souběžně podávané do této či jiných veřejných soutěží, kdy by při současném podpoření docházelo </w:t>
      </w:r>
      <w:proofErr w:type="gramStart"/>
      <w:r>
        <w:t>k</w:t>
      </w:r>
      <w:proofErr w:type="gramEnd"/>
      <w:r>
        <w:t xml:space="preserve"> dvojímu financování.</w:t>
      </w:r>
      <w:r w:rsidR="00534E40">
        <w:t xml:space="preserve"> </w:t>
      </w:r>
      <w:r>
        <w:t xml:space="preserve">V tomto případě je nutné uvést, že bude uzavřena pouze jedna smlouva o poskytnutí podpory a tento závazek dodržet. </w:t>
      </w:r>
    </w:p>
    <w:p w14:paraId="44EB5133" w14:textId="77777777" w:rsidR="00AA343B" w:rsidRDefault="00B73D5D" w:rsidP="004540B9">
      <w:r>
        <w:t>Pokud neexistují takové projekty, ke kterým se vztahuje povinnost vymezení, výslovně tuto skutečnost uveďte.</w:t>
      </w:r>
    </w:p>
    <w:p w14:paraId="1296FC87" w14:textId="77777777" w:rsidR="00B73D5D" w:rsidRDefault="00B73D5D" w:rsidP="004540B9">
      <w:pPr>
        <w:rPr>
          <w:b/>
        </w:rPr>
      </w:pPr>
    </w:p>
    <w:p w14:paraId="45628934" w14:textId="77777777" w:rsidR="00183D03" w:rsidRDefault="00183D03" w:rsidP="004540B9">
      <w:pPr>
        <w:rPr>
          <w:b/>
          <w:color w:val="1F4E79" w:themeColor="accent1" w:themeShade="80"/>
          <w:sz w:val="28"/>
          <w:szCs w:val="28"/>
        </w:rPr>
      </w:pPr>
      <w:r w:rsidRPr="00183D03">
        <w:rPr>
          <w:b/>
          <w:color w:val="1F4E79" w:themeColor="accent1" w:themeShade="80"/>
          <w:sz w:val="28"/>
          <w:szCs w:val="28"/>
        </w:rPr>
        <w:t>T</w:t>
      </w:r>
      <w:r w:rsidR="00B45D01">
        <w:rPr>
          <w:b/>
          <w:color w:val="1F4E79" w:themeColor="accent1" w:themeShade="80"/>
          <w:sz w:val="28"/>
          <w:szCs w:val="28"/>
        </w:rPr>
        <w:t>e</w:t>
      </w:r>
      <w:r w:rsidRPr="00183D03">
        <w:rPr>
          <w:b/>
          <w:color w:val="1F4E79" w:themeColor="accent1" w:themeShade="80"/>
          <w:sz w:val="28"/>
          <w:szCs w:val="28"/>
        </w:rPr>
        <w:t>matické vymezení návrhu projektu</w:t>
      </w:r>
    </w:p>
    <w:p w14:paraId="703678A3" w14:textId="77777777" w:rsidR="00183D03" w:rsidRPr="00183D03" w:rsidRDefault="00183D03" w:rsidP="004540B9">
      <w:pPr>
        <w:rPr>
          <w:b/>
          <w:color w:val="1F4E79" w:themeColor="accent1" w:themeShade="80"/>
          <w:sz w:val="28"/>
          <w:szCs w:val="28"/>
        </w:rPr>
      </w:pPr>
      <w:r>
        <w:t>Zařazení návrhu projektu do správné kategorie dané klasifikace slouží pro statistické a analytické účely a pro hodnocení vynakládání veřejných prostředků v oblasti vědy, výzkumu a inovací. Klasifikace je povinným krokem v procesu podávání návrhu projektu.</w:t>
      </w:r>
    </w:p>
    <w:p w14:paraId="74BF02DE" w14:textId="77777777" w:rsidR="00183D03" w:rsidRPr="00183D03" w:rsidRDefault="00183D03" w:rsidP="00183D03">
      <w:pPr>
        <w:pStyle w:val="Odstavecseseznamem"/>
        <w:numPr>
          <w:ilvl w:val="0"/>
          <w:numId w:val="20"/>
        </w:numPr>
        <w:rPr>
          <w:b/>
        </w:rPr>
      </w:pPr>
      <w:r>
        <w:t xml:space="preserve">Národní priority orientovaného výzkumu Uchazeči musí povinně zvolit jeden hlavní a žádný až dva vedlejší cíle z Národních priorit orientovaného výzkumu, experimentálního vývoje a inovací (NPOV) </w:t>
      </w:r>
    </w:p>
    <w:p w14:paraId="5EDDF003" w14:textId="77777777" w:rsidR="00183D03" w:rsidRDefault="00183D03" w:rsidP="00183D03">
      <w:pPr>
        <w:pStyle w:val="Odstavecseseznamem"/>
        <w:numPr>
          <w:ilvl w:val="0"/>
          <w:numId w:val="20"/>
        </w:numPr>
      </w:pPr>
      <w:r>
        <w:t xml:space="preserve">Obory CEP, FORD a TA ČR Uchazeči si v návrhu projektu povinně zvolí jeden hlavní, jeden vedlejší a jeden další vedlejší obor podle Centrální evidence projektů (CEP),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 – Oblasti výzkumu a vývoje (FORD) a podle číselníku TA ČR. V této veřejné soutěži nemohou uchazeči jako hlavní obory zvolit:</w:t>
      </w:r>
    </w:p>
    <w:p w14:paraId="034D9C8D" w14:textId="77777777" w:rsidR="00183D03" w:rsidRPr="00183D03" w:rsidRDefault="00183D03" w:rsidP="0027245D">
      <w:pPr>
        <w:pStyle w:val="Odstavecseseznamem"/>
        <w:numPr>
          <w:ilvl w:val="0"/>
          <w:numId w:val="20"/>
        </w:numPr>
        <w:rPr>
          <w:b/>
          <w:color w:val="1F4E79" w:themeColor="accent1" w:themeShade="80"/>
          <w:sz w:val="28"/>
          <w:szCs w:val="28"/>
        </w:rPr>
      </w:pPr>
      <w:r>
        <w:t xml:space="preserve">Národní RIS3 strategie Návrh projektu musí být v souladu s Národní výzkumnou a inovační strategií pro inteligentní specializaci České republiky 2021–2027 (Národní RIS3 strategií) na níže uvedených úrovních. Uchazeči v návrhu projektu popíší způsob naplnění Národní RIS3 strategie. </w:t>
      </w:r>
    </w:p>
    <w:p w14:paraId="537B918E" w14:textId="77777777" w:rsidR="00C26B84" w:rsidRDefault="00C26B84" w:rsidP="00183D03">
      <w:pPr>
        <w:rPr>
          <w:b/>
          <w:color w:val="1F4E79" w:themeColor="accent1" w:themeShade="80"/>
          <w:sz w:val="28"/>
          <w:szCs w:val="28"/>
        </w:rPr>
      </w:pPr>
    </w:p>
    <w:p w14:paraId="468BE79A" w14:textId="77777777" w:rsidR="004129C7" w:rsidRPr="00183D03" w:rsidRDefault="003206E0" w:rsidP="00183D03">
      <w:pPr>
        <w:rPr>
          <w:b/>
          <w:color w:val="1F4E79" w:themeColor="accent1" w:themeShade="80"/>
          <w:sz w:val="28"/>
          <w:szCs w:val="28"/>
        </w:rPr>
      </w:pPr>
      <w:r w:rsidRPr="00183D03">
        <w:rPr>
          <w:b/>
          <w:color w:val="1F4E79" w:themeColor="accent1" w:themeShade="80"/>
          <w:sz w:val="28"/>
          <w:szCs w:val="28"/>
        </w:rPr>
        <w:t>Návrh projektu:</w:t>
      </w:r>
    </w:p>
    <w:p w14:paraId="0040E8D3" w14:textId="77777777" w:rsidR="004129C7" w:rsidRDefault="004129C7" w:rsidP="005A485D">
      <w:pPr>
        <w:jc w:val="both"/>
      </w:pPr>
      <w:r>
        <w:t xml:space="preserve">Návrh projektu musí být do veřejné soutěže podán v elektronické podobě prostřednictvím ISTA. </w:t>
      </w:r>
    </w:p>
    <w:p w14:paraId="55308D04" w14:textId="77777777" w:rsidR="004129C7" w:rsidRDefault="004129C7" w:rsidP="005A485D">
      <w:pPr>
        <w:jc w:val="both"/>
      </w:pPr>
      <w:r>
        <w:lastRenderedPageBreak/>
        <w:t xml:space="preserve">Po podání návrhu projektu prostřednictvím ISTA vlastník návrhu projektu vygeneruje dokument „Potvrzení podání elektronického návrhu projektu do ISTA”. </w:t>
      </w:r>
    </w:p>
    <w:p w14:paraId="429EAC4B" w14:textId="77777777" w:rsidR="00697433" w:rsidRDefault="004129C7" w:rsidP="005A485D">
      <w:pPr>
        <w:jc w:val="both"/>
      </w:pPr>
      <w:r>
        <w:t xml:space="preserve">Tento dokument obsahuje jednoznačné identifikátory, které musí být shodné s elektronicky odeslaným návrhem projektu. </w:t>
      </w:r>
    </w:p>
    <w:p w14:paraId="5C44994E" w14:textId="77777777" w:rsidR="004129C7" w:rsidRPr="001F1840" w:rsidRDefault="004129C7" w:rsidP="005A485D">
      <w:pPr>
        <w:jc w:val="both"/>
        <w:rPr>
          <w:b/>
        </w:rPr>
      </w:pPr>
      <w:r w:rsidRPr="001F1840">
        <w:rPr>
          <w:b/>
        </w:rPr>
        <w:t xml:space="preserve">Potvrzení podání elektronického návrhu projektu do ISTA: </w:t>
      </w:r>
    </w:p>
    <w:p w14:paraId="4EBA19EE" w14:textId="77777777" w:rsidR="004129C7" w:rsidRPr="001F1840" w:rsidRDefault="004129C7" w:rsidP="005A485D">
      <w:pPr>
        <w:jc w:val="both"/>
        <w:rPr>
          <w:b/>
        </w:rPr>
      </w:pPr>
      <w:r w:rsidRPr="001F1840">
        <w:t xml:space="preserve">• </w:t>
      </w:r>
      <w:r w:rsidRPr="001F1840">
        <w:rPr>
          <w:b/>
        </w:rPr>
        <w:t xml:space="preserve">musí být odesláno z datové schránky hlavního uchazeče do datové schránky TA ČR (ID datové schránky: afth9xp); </w:t>
      </w:r>
    </w:p>
    <w:p w14:paraId="54819C12" w14:textId="77777777" w:rsidR="00697433" w:rsidRPr="0064710B" w:rsidRDefault="004129C7" w:rsidP="0064710B">
      <w:pPr>
        <w:jc w:val="both"/>
        <w:rPr>
          <w:b/>
        </w:rPr>
      </w:pPr>
      <w:r w:rsidRPr="001F1840">
        <w:rPr>
          <w:b/>
        </w:rPr>
        <w:t>• v náležitostech zprávy v datovém poli „Věc“ uveďte „</w:t>
      </w:r>
      <w:r w:rsidR="00183D03" w:rsidRPr="00183D03">
        <w:rPr>
          <w:b/>
        </w:rPr>
        <w:t xml:space="preserve">10. veřejná soutěž programu </w:t>
      </w:r>
      <w:proofErr w:type="gramStart"/>
      <w:r w:rsidR="00183D03" w:rsidRPr="00183D03">
        <w:rPr>
          <w:b/>
        </w:rPr>
        <w:t>TREND - Potvrzení</w:t>
      </w:r>
      <w:proofErr w:type="gramEnd"/>
      <w:r w:rsidR="00183D03" w:rsidRPr="00183D03">
        <w:rPr>
          <w:b/>
        </w:rPr>
        <w:t xml:space="preserve"> podání</w:t>
      </w:r>
      <w:r w:rsidRPr="00183D03">
        <w:rPr>
          <w:b/>
        </w:rPr>
        <w:t>“</w:t>
      </w:r>
    </w:p>
    <w:p w14:paraId="0B4D4BDD" w14:textId="77777777" w:rsidR="00183D03" w:rsidRPr="0064710B" w:rsidRDefault="00183D03" w:rsidP="0057770F">
      <w:pPr>
        <w:rPr>
          <w:b/>
          <w:color w:val="1F4E79" w:themeColor="accent1" w:themeShade="80"/>
        </w:rPr>
      </w:pPr>
    </w:p>
    <w:p w14:paraId="2F641149" w14:textId="77777777" w:rsidR="00435CD4" w:rsidRPr="00E143FA" w:rsidRDefault="003206E0" w:rsidP="00697433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Povinné přílohy:</w:t>
      </w:r>
    </w:p>
    <w:p w14:paraId="2CF7F99C" w14:textId="77777777" w:rsidR="00435CD4" w:rsidRPr="00697433" w:rsidRDefault="00B73D5D" w:rsidP="00697433">
      <w:pPr>
        <w:jc w:val="both"/>
        <w:rPr>
          <w:b/>
        </w:rPr>
      </w:pPr>
      <w:r w:rsidRPr="00697433">
        <w:rPr>
          <w:b/>
        </w:rPr>
        <w:t xml:space="preserve">Jaké dokumenty dokládá uchazeč </w:t>
      </w:r>
      <w:r w:rsidR="00435CD4" w:rsidRPr="00697433">
        <w:rPr>
          <w:b/>
        </w:rPr>
        <w:t>(TAČR nebude vyzývat)</w:t>
      </w:r>
    </w:p>
    <w:p w14:paraId="402F9237" w14:textId="77777777" w:rsidR="00435CD4" w:rsidRPr="0064710B" w:rsidRDefault="00B73D5D" w:rsidP="00435CD4">
      <w:pPr>
        <w:pStyle w:val="Odstavecseseznamem"/>
        <w:numPr>
          <w:ilvl w:val="0"/>
          <w:numId w:val="16"/>
        </w:numPr>
        <w:jc w:val="both"/>
        <w:rPr>
          <w:b/>
        </w:rPr>
      </w:pPr>
      <w:r w:rsidRPr="0064710B">
        <w:rPr>
          <w:b/>
        </w:rPr>
        <w:t xml:space="preserve">Prostřednictvím datové schránky: </w:t>
      </w:r>
    </w:p>
    <w:p w14:paraId="7C0918D3" w14:textId="77777777"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Potvrzení podání elektronického návrhu projektu do ISTA. </w:t>
      </w:r>
    </w:p>
    <w:p w14:paraId="040A567C" w14:textId="77777777" w:rsidR="00435CD4" w:rsidRPr="0064710B" w:rsidRDefault="00B73D5D" w:rsidP="00435CD4">
      <w:pPr>
        <w:pStyle w:val="Odstavecseseznamem"/>
        <w:numPr>
          <w:ilvl w:val="0"/>
          <w:numId w:val="16"/>
        </w:numPr>
        <w:jc w:val="both"/>
        <w:rPr>
          <w:b/>
        </w:rPr>
      </w:pPr>
      <w:r w:rsidRPr="0064710B">
        <w:rPr>
          <w:b/>
        </w:rPr>
        <w:t xml:space="preserve">Prostřednictvím příloh v návrhu projektu do ISTA: </w:t>
      </w:r>
    </w:p>
    <w:p w14:paraId="1BA48208" w14:textId="77777777"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č. 1 - Osnova představení projektu; </w:t>
      </w:r>
    </w:p>
    <w:p w14:paraId="111D1C1D" w14:textId="77777777"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č. 2 - Doložení uplatnění výsledků; </w:t>
      </w:r>
    </w:p>
    <w:p w14:paraId="24CC48A6" w14:textId="77777777"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č. 3 - Vzorová tabulka ekonomických přínosů za hlavního uchazeče; </w:t>
      </w:r>
    </w:p>
    <w:p w14:paraId="4C0BC00D" w14:textId="77777777" w:rsidR="00183D03" w:rsidRDefault="00183D03" w:rsidP="00435CD4">
      <w:pPr>
        <w:pStyle w:val="Odstavecseseznamem"/>
        <w:numPr>
          <w:ilvl w:val="0"/>
          <w:numId w:val="18"/>
        </w:numPr>
        <w:jc w:val="both"/>
      </w:pPr>
      <w:r>
        <w:t>č. 4 – Prohlášení o dodržování zásady „významně nepoškozovat“.</w:t>
      </w:r>
    </w:p>
    <w:p w14:paraId="79D391F4" w14:textId="77777777" w:rsidR="00435CD4" w:rsidRDefault="00B73D5D" w:rsidP="00435CD4">
      <w:pPr>
        <w:pStyle w:val="Odstavecseseznamem"/>
        <w:numPr>
          <w:ilvl w:val="0"/>
          <w:numId w:val="18"/>
        </w:numPr>
        <w:jc w:val="both"/>
      </w:pPr>
      <w:r>
        <w:t xml:space="preserve">V případě účasti dalšího účastníka ze </w:t>
      </w:r>
      <w:proofErr w:type="gramStart"/>
      <w:r>
        <w:t>zahraniční</w:t>
      </w:r>
      <w:r w:rsidR="00AB1970">
        <w:t xml:space="preserve"> -</w:t>
      </w:r>
      <w:r>
        <w:t xml:space="preserve"> údaje</w:t>
      </w:r>
      <w:proofErr w:type="gramEnd"/>
      <w:r>
        <w:t xml:space="preserve"> o skutečném majiteli zahraničního uchazeče. </w:t>
      </w:r>
    </w:p>
    <w:p w14:paraId="449338AC" w14:textId="77777777" w:rsidR="00435CD4" w:rsidRPr="00010C58" w:rsidRDefault="00B73D5D" w:rsidP="00435CD4">
      <w:pPr>
        <w:jc w:val="both"/>
        <w:rPr>
          <w:b/>
        </w:rPr>
      </w:pPr>
      <w:r w:rsidRPr="00010C58">
        <w:rPr>
          <w:b/>
        </w:rPr>
        <w:t xml:space="preserve">Jaké dokumenty dokládá uchazeč (TA ČR může vyzvat) </w:t>
      </w:r>
    </w:p>
    <w:p w14:paraId="5EF20236" w14:textId="77777777" w:rsidR="00435CD4" w:rsidRPr="0064710B" w:rsidRDefault="00B73D5D" w:rsidP="00435CD4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64710B">
        <w:rPr>
          <w:b/>
        </w:rPr>
        <w:t xml:space="preserve">Prostřednictvím datové schránky: </w:t>
      </w:r>
    </w:p>
    <w:p w14:paraId="054BC8C2" w14:textId="77777777" w:rsidR="00435CD4" w:rsidRDefault="00B73D5D" w:rsidP="00AB1970">
      <w:pPr>
        <w:pStyle w:val="Odstavecseseznamem"/>
        <w:numPr>
          <w:ilvl w:val="0"/>
          <w:numId w:val="18"/>
        </w:numPr>
        <w:jc w:val="both"/>
      </w:pPr>
      <w:r>
        <w:t>Čestné prohlášení za uchazeče/</w:t>
      </w:r>
      <w:proofErr w:type="spellStart"/>
      <w:r>
        <w:t>Sworn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– dokládá každý uchazeč, tedy hlavní uchazeč i další účastník; </w:t>
      </w:r>
    </w:p>
    <w:p w14:paraId="4761669C" w14:textId="77777777" w:rsidR="00435CD4" w:rsidRPr="0064710B" w:rsidRDefault="00B73D5D" w:rsidP="00435CD4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64710B">
        <w:rPr>
          <w:b/>
        </w:rPr>
        <w:t xml:space="preserve">Prostřednictvím příloh v návrhu projektu do ISTA: </w:t>
      </w:r>
    </w:p>
    <w:p w14:paraId="7EAA47FC" w14:textId="77777777" w:rsidR="00435CD4" w:rsidRDefault="00B73D5D" w:rsidP="00AB1970">
      <w:pPr>
        <w:pStyle w:val="Odstavecseseznamem"/>
        <w:numPr>
          <w:ilvl w:val="0"/>
          <w:numId w:val="18"/>
        </w:numPr>
        <w:jc w:val="both"/>
      </w:pPr>
      <w:r>
        <w:t xml:space="preserve">účetní závěrky za roky 2019, 2020, 2021 včetně potvrzení o zaslání na rejstříkový soud, pokud ještě nedošlo k jejich zveřejnění (pouze v případě, že zveřejnění účetních závěrek ukládá příslušný zákon); </w:t>
      </w:r>
    </w:p>
    <w:p w14:paraId="65987C2A" w14:textId="77777777" w:rsidR="00612B2F" w:rsidRDefault="00B73D5D" w:rsidP="00AB1970">
      <w:pPr>
        <w:pStyle w:val="Odstavecseseznamem"/>
        <w:numPr>
          <w:ilvl w:val="0"/>
          <w:numId w:val="18"/>
        </w:numPr>
        <w:jc w:val="both"/>
      </w:pPr>
      <w:r>
        <w:t>čestné prohlášení dalšího zahraničního účastníka, které bude obsahovat finanční položky potřebné k výpočtu podniku v obtížích za roky 2019, 2020 a 2021</w:t>
      </w:r>
    </w:p>
    <w:p w14:paraId="25E04D92" w14:textId="77777777" w:rsidR="00B73D5D" w:rsidRDefault="00B73D5D" w:rsidP="00697433">
      <w:pPr>
        <w:pStyle w:val="Default"/>
        <w:jc w:val="both"/>
        <w:rPr>
          <w:b/>
          <w:bCs/>
          <w:sz w:val="22"/>
          <w:szCs w:val="22"/>
        </w:rPr>
      </w:pPr>
    </w:p>
    <w:p w14:paraId="290CAC9D" w14:textId="77777777" w:rsidR="00563DF1" w:rsidRDefault="00563DF1" w:rsidP="005A485D">
      <w:pPr>
        <w:jc w:val="both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Hodnocení:</w:t>
      </w:r>
    </w:p>
    <w:p w14:paraId="6646BCF4" w14:textId="77777777" w:rsidR="00AB1970" w:rsidRDefault="00AB1970" w:rsidP="005A485D">
      <w:pPr>
        <w:jc w:val="both"/>
      </w:pPr>
      <w:r>
        <w:t xml:space="preserve">Každý návrh projektu, který je přijat do veřejné soutěže, tzn. úspěšně prošel formální kontrolou, budou postupně hodnotit: </w:t>
      </w:r>
    </w:p>
    <w:p w14:paraId="42CBC624" w14:textId="77777777" w:rsidR="00AB1970" w:rsidRPr="00C26B84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>
        <w:t xml:space="preserve">oponenti; </w:t>
      </w:r>
    </w:p>
    <w:p w14:paraId="1E7D2354" w14:textId="77777777" w:rsidR="00C26B84" w:rsidRPr="00C26B84" w:rsidRDefault="00C26B84" w:rsidP="00AB1970">
      <w:pPr>
        <w:pStyle w:val="Odstavecseseznamem"/>
        <w:numPr>
          <w:ilvl w:val="0"/>
          <w:numId w:val="18"/>
        </w:numPr>
        <w:jc w:val="both"/>
      </w:pPr>
      <w:r w:rsidRPr="00C26B84">
        <w:t>odborný hodnotitel;</w:t>
      </w:r>
    </w:p>
    <w:p w14:paraId="41C11599" w14:textId="77777777" w:rsidR="00AB1970" w:rsidRPr="00AB1970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>
        <w:t xml:space="preserve">zpravodaj; </w:t>
      </w:r>
    </w:p>
    <w:p w14:paraId="27665E62" w14:textId="77777777" w:rsidR="00AB1970" w:rsidRPr="00AB1970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>
        <w:t xml:space="preserve">odborný poradní orgán. </w:t>
      </w:r>
    </w:p>
    <w:p w14:paraId="1D3F9A3D" w14:textId="77777777" w:rsidR="00AB1970" w:rsidRPr="00AB1970" w:rsidRDefault="00AB1970" w:rsidP="00AB1970">
      <w:pPr>
        <w:jc w:val="both"/>
        <w:rPr>
          <w:b/>
          <w:color w:val="1F4E79" w:themeColor="accent1" w:themeShade="80"/>
          <w:sz w:val="28"/>
          <w:szCs w:val="28"/>
        </w:rPr>
      </w:pPr>
      <w:r>
        <w:lastRenderedPageBreak/>
        <w:t>Předsednictvo TA ČR následně rozhodne o výběru návrhů projektů ve veřejné soutěži.</w:t>
      </w:r>
    </w:p>
    <w:p w14:paraId="2C0CD853" w14:textId="77777777" w:rsidR="00563DF1" w:rsidRDefault="002613EA" w:rsidP="005A485D">
      <w:pPr>
        <w:jc w:val="both"/>
      </w:pPr>
      <w:r w:rsidRPr="00C73306">
        <w:t xml:space="preserve">Pro hodnocení návrhů projektů je stanoveno </w:t>
      </w:r>
      <w:r w:rsidR="005320D9">
        <w:t>7</w:t>
      </w:r>
      <w:r w:rsidRPr="00C73306">
        <w:t xml:space="preserve"> binárních kritérií</w:t>
      </w:r>
      <w:r w:rsidR="00531DCA" w:rsidRPr="00C73306">
        <w:t>,</w:t>
      </w:r>
      <w:r w:rsidRPr="00C73306">
        <w:t xml:space="preserve"> </w:t>
      </w:r>
      <w:r w:rsidR="00531DCA" w:rsidRPr="00C73306">
        <w:t>8</w:t>
      </w:r>
      <w:r w:rsidRPr="00C73306">
        <w:t xml:space="preserve"> bodovaných kritérií</w:t>
      </w:r>
      <w:r w:rsidR="00AB1970">
        <w:t xml:space="preserve"> a </w:t>
      </w:r>
      <w:r w:rsidR="005320D9">
        <w:t>3</w:t>
      </w:r>
      <w:r w:rsidR="00AB1970">
        <w:t xml:space="preserve"> bonifikační kritéria. </w:t>
      </w:r>
    </w:p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593"/>
    <w:multiLevelType w:val="hybridMultilevel"/>
    <w:tmpl w:val="D2F243D6"/>
    <w:lvl w:ilvl="0" w:tplc="A2AC48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1336"/>
    <w:multiLevelType w:val="hybridMultilevel"/>
    <w:tmpl w:val="F876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C973"/>
    <w:multiLevelType w:val="hybridMultilevel"/>
    <w:tmpl w:val="67B0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8E6F7F"/>
    <w:multiLevelType w:val="hybridMultilevel"/>
    <w:tmpl w:val="5F2EF9C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BDC"/>
    <w:multiLevelType w:val="hybridMultilevel"/>
    <w:tmpl w:val="56AA154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9CE5"/>
    <w:multiLevelType w:val="hybridMultilevel"/>
    <w:tmpl w:val="B6B05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D7D02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8B1"/>
    <w:multiLevelType w:val="hybridMultilevel"/>
    <w:tmpl w:val="5A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62CA4"/>
    <w:multiLevelType w:val="hybridMultilevel"/>
    <w:tmpl w:val="824C3B4A"/>
    <w:lvl w:ilvl="0" w:tplc="3EE40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86BF9"/>
    <w:multiLevelType w:val="hybridMultilevel"/>
    <w:tmpl w:val="5D8AF98C"/>
    <w:lvl w:ilvl="0" w:tplc="770A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490D7C"/>
    <w:multiLevelType w:val="hybridMultilevel"/>
    <w:tmpl w:val="F6F6038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649F"/>
    <w:multiLevelType w:val="hybridMultilevel"/>
    <w:tmpl w:val="33F0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54B1D"/>
    <w:multiLevelType w:val="hybridMultilevel"/>
    <w:tmpl w:val="AF5E51D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B07FB"/>
    <w:multiLevelType w:val="hybridMultilevel"/>
    <w:tmpl w:val="0F54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E075D"/>
    <w:multiLevelType w:val="hybridMultilevel"/>
    <w:tmpl w:val="28BE7ED6"/>
    <w:lvl w:ilvl="0" w:tplc="7B668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594D"/>
    <w:multiLevelType w:val="hybridMultilevel"/>
    <w:tmpl w:val="F9B64582"/>
    <w:lvl w:ilvl="0" w:tplc="2F82F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13"/>
  </w:num>
  <w:num w:numId="14">
    <w:abstractNumId w:val="4"/>
  </w:num>
  <w:num w:numId="15">
    <w:abstractNumId w:val="19"/>
  </w:num>
  <w:num w:numId="16">
    <w:abstractNumId w:val="1"/>
  </w:num>
  <w:num w:numId="17">
    <w:abstractNumId w:val="14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036D5"/>
    <w:rsid w:val="000059FC"/>
    <w:rsid w:val="00005F8C"/>
    <w:rsid w:val="00010C58"/>
    <w:rsid w:val="0003137D"/>
    <w:rsid w:val="00092A50"/>
    <w:rsid w:val="000A3AC2"/>
    <w:rsid w:val="000C6166"/>
    <w:rsid w:val="000D25EF"/>
    <w:rsid w:val="00103A81"/>
    <w:rsid w:val="00144FEB"/>
    <w:rsid w:val="00181A5F"/>
    <w:rsid w:val="00183D03"/>
    <w:rsid w:val="001923C1"/>
    <w:rsid w:val="001B39D0"/>
    <w:rsid w:val="001C02BC"/>
    <w:rsid w:val="001F1840"/>
    <w:rsid w:val="00224459"/>
    <w:rsid w:val="0023715B"/>
    <w:rsid w:val="002613EA"/>
    <w:rsid w:val="00275400"/>
    <w:rsid w:val="00294A46"/>
    <w:rsid w:val="002B225D"/>
    <w:rsid w:val="002E1ECA"/>
    <w:rsid w:val="0030289D"/>
    <w:rsid w:val="00307BC1"/>
    <w:rsid w:val="003145D6"/>
    <w:rsid w:val="003206E0"/>
    <w:rsid w:val="00340F1D"/>
    <w:rsid w:val="003E169E"/>
    <w:rsid w:val="003F31DA"/>
    <w:rsid w:val="004129C7"/>
    <w:rsid w:val="00415969"/>
    <w:rsid w:val="00435CD4"/>
    <w:rsid w:val="0044320D"/>
    <w:rsid w:val="004540B9"/>
    <w:rsid w:val="004C6AED"/>
    <w:rsid w:val="00525099"/>
    <w:rsid w:val="00531DCA"/>
    <w:rsid w:val="005320D9"/>
    <w:rsid w:val="00534E40"/>
    <w:rsid w:val="005512AB"/>
    <w:rsid w:val="00557E9F"/>
    <w:rsid w:val="00563DF1"/>
    <w:rsid w:val="0057770F"/>
    <w:rsid w:val="005A37C6"/>
    <w:rsid w:val="005A485D"/>
    <w:rsid w:val="005D3618"/>
    <w:rsid w:val="006037FE"/>
    <w:rsid w:val="00606286"/>
    <w:rsid w:val="00612B2F"/>
    <w:rsid w:val="00614A99"/>
    <w:rsid w:val="0064710B"/>
    <w:rsid w:val="00647EBB"/>
    <w:rsid w:val="00697433"/>
    <w:rsid w:val="006B2816"/>
    <w:rsid w:val="006B5E9F"/>
    <w:rsid w:val="006E0536"/>
    <w:rsid w:val="0074217B"/>
    <w:rsid w:val="00774823"/>
    <w:rsid w:val="007C2781"/>
    <w:rsid w:val="007D2E24"/>
    <w:rsid w:val="0080292A"/>
    <w:rsid w:val="00850853"/>
    <w:rsid w:val="00894BEB"/>
    <w:rsid w:val="008956D6"/>
    <w:rsid w:val="008B6889"/>
    <w:rsid w:val="009D66C6"/>
    <w:rsid w:val="00A83F6E"/>
    <w:rsid w:val="00AA343B"/>
    <w:rsid w:val="00AB1970"/>
    <w:rsid w:val="00AB60CA"/>
    <w:rsid w:val="00AF2878"/>
    <w:rsid w:val="00B45D01"/>
    <w:rsid w:val="00B61AEF"/>
    <w:rsid w:val="00B73D5D"/>
    <w:rsid w:val="00BB3778"/>
    <w:rsid w:val="00BF0F25"/>
    <w:rsid w:val="00C10D9F"/>
    <w:rsid w:val="00C26B84"/>
    <w:rsid w:val="00C73306"/>
    <w:rsid w:val="00CA4F6F"/>
    <w:rsid w:val="00CC39C8"/>
    <w:rsid w:val="00D14577"/>
    <w:rsid w:val="00D66035"/>
    <w:rsid w:val="00D70187"/>
    <w:rsid w:val="00D704E8"/>
    <w:rsid w:val="00E143FA"/>
    <w:rsid w:val="00E656CA"/>
    <w:rsid w:val="00E85E82"/>
    <w:rsid w:val="00E96464"/>
    <w:rsid w:val="00EB3EF0"/>
    <w:rsid w:val="00ED7A3D"/>
    <w:rsid w:val="00F148C0"/>
    <w:rsid w:val="00F55C70"/>
    <w:rsid w:val="00F95735"/>
    <w:rsid w:val="00FC3C0C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476C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40F1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ondrouskova@vutb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ka@vutbr.cz" TargetMode="External"/><Relationship Id="rId12" Type="http://schemas.openxmlformats.org/officeDocument/2006/relationships/hyperlink" Target="https://ista.tacr.cz/ISTA/action/Dashboard/ExternalNew/?actionId=6798826730857997&amp;ts=1651134055512&amp;hash=/PRnciOWYPGy0ZuRTsNaKYXfoMOiF9jN8xXBwm4AbZU=&amp;nbl=true&amp;uselastresult=true&amp;_browserSessionID=&amp;la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www.tacr.cz/soutez/program-trend/desata-verejna-soutez/" TargetMode="External"/><Relationship Id="rId5" Type="http://schemas.openxmlformats.org/officeDocument/2006/relationships/hyperlink" Target="mailto:pilcerova@vutbr.cz" TargetMode="External"/><Relationship Id="rId10" Type="http://schemas.openxmlformats.org/officeDocument/2006/relationships/hyperlink" Target="mailto:saskova@vutb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psiova@vutb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1482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dcterms:created xsi:type="dcterms:W3CDTF">2023-04-11T11:55:00Z</dcterms:created>
  <dcterms:modified xsi:type="dcterms:W3CDTF">2023-04-11T11:55:00Z</dcterms:modified>
</cp:coreProperties>
</file>