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13765" w14:textId="77777777" w:rsidR="002E1ECA" w:rsidRPr="004D1883" w:rsidRDefault="00970A1B" w:rsidP="004D1883">
      <w:pPr>
        <w:spacing w:after="0" w:line="240" w:lineRule="auto"/>
        <w:jc w:val="both"/>
        <w:rPr>
          <w:b/>
          <w:color w:val="1F4E79" w:themeColor="accent1" w:themeShade="80"/>
          <w:sz w:val="32"/>
          <w:szCs w:val="28"/>
        </w:rPr>
      </w:pPr>
      <w:r>
        <w:rPr>
          <w:rStyle w:val="subheading-category1"/>
          <w:b/>
          <w:caps w:val="0"/>
          <w:color w:val="2F5496" w:themeColor="accent5" w:themeShade="BF"/>
          <w:sz w:val="36"/>
          <w:szCs w:val="36"/>
        </w:rPr>
        <w:t>2</w:t>
      </w:r>
      <w:r w:rsidR="00531DCA">
        <w:rPr>
          <w:rStyle w:val="subheading-category1"/>
          <w:b/>
          <w:caps w:val="0"/>
          <w:color w:val="2F5496" w:themeColor="accent5" w:themeShade="BF"/>
          <w:sz w:val="36"/>
          <w:szCs w:val="36"/>
        </w:rPr>
        <w:t xml:space="preserve">. </w:t>
      </w:r>
      <w:r w:rsidR="0057770F" w:rsidRPr="00531DCA">
        <w:rPr>
          <w:rStyle w:val="subheading-category1"/>
          <w:b/>
          <w:caps w:val="0"/>
          <w:color w:val="2F5496" w:themeColor="accent5" w:themeShade="BF"/>
          <w:sz w:val="36"/>
          <w:szCs w:val="36"/>
        </w:rPr>
        <w:t xml:space="preserve">veřejná </w:t>
      </w:r>
      <w:proofErr w:type="gramStart"/>
      <w:r w:rsidR="0057770F" w:rsidRPr="00531DCA">
        <w:rPr>
          <w:rStyle w:val="subheading-category1"/>
          <w:b/>
          <w:caps w:val="0"/>
          <w:color w:val="2F5496" w:themeColor="accent5" w:themeShade="BF"/>
          <w:sz w:val="36"/>
          <w:szCs w:val="36"/>
        </w:rPr>
        <w:t xml:space="preserve">soutěž </w:t>
      </w:r>
      <w:r w:rsidR="00AB60CA" w:rsidRPr="00531DCA">
        <w:rPr>
          <w:rStyle w:val="subheading-category1"/>
          <w:b/>
          <w:caps w:val="0"/>
          <w:color w:val="2F5496" w:themeColor="accent5" w:themeShade="BF"/>
          <w:sz w:val="36"/>
          <w:szCs w:val="36"/>
        </w:rPr>
        <w:t>- Program</w:t>
      </w:r>
      <w:proofErr w:type="gramEnd"/>
      <w:r w:rsidR="00AB60CA" w:rsidRPr="00531DCA">
        <w:rPr>
          <w:rStyle w:val="subheading-category1"/>
          <w:b/>
          <w:caps w:val="0"/>
          <w:color w:val="2F5496" w:themeColor="accent5" w:themeShade="BF"/>
          <w:sz w:val="36"/>
          <w:szCs w:val="36"/>
        </w:rPr>
        <w:t xml:space="preserve"> </w:t>
      </w:r>
      <w:r w:rsidR="002F21BE">
        <w:rPr>
          <w:rStyle w:val="subheading-category1"/>
          <w:b/>
          <w:caps w:val="0"/>
          <w:color w:val="2F5496" w:themeColor="accent5" w:themeShade="BF"/>
          <w:sz w:val="36"/>
          <w:szCs w:val="36"/>
        </w:rPr>
        <w:t>SIGMA</w:t>
      </w:r>
      <w:r w:rsidR="004D1883">
        <w:rPr>
          <w:rStyle w:val="subheading-category1"/>
          <w:b/>
          <w:caps w:val="0"/>
          <w:color w:val="2F5496" w:themeColor="accent5" w:themeShade="BF"/>
          <w:sz w:val="36"/>
          <w:szCs w:val="36"/>
        </w:rPr>
        <w:t xml:space="preserve"> - </w:t>
      </w:r>
      <w:r w:rsidR="004D1883" w:rsidRPr="004D1883">
        <w:rPr>
          <w:b/>
          <w:color w:val="1F4E79" w:themeColor="accent1" w:themeShade="80"/>
          <w:sz w:val="32"/>
          <w:szCs w:val="28"/>
        </w:rPr>
        <w:t>Dílčí cíl 2: Začínající výzkumníci/výzkumnice a vyrovnávání příležitostí v projektech aplikovaného výzkumu</w:t>
      </w:r>
    </w:p>
    <w:p w14:paraId="1386F12A" w14:textId="77777777" w:rsidR="0057770F" w:rsidRPr="004D1883" w:rsidRDefault="0057770F" w:rsidP="00A863FE">
      <w:pPr>
        <w:spacing w:after="0" w:line="240" w:lineRule="auto"/>
        <w:rPr>
          <w:b/>
          <w:color w:val="1F4E79" w:themeColor="accent1" w:themeShade="80"/>
          <w:sz w:val="28"/>
          <w:szCs w:val="28"/>
        </w:rPr>
      </w:pPr>
    </w:p>
    <w:p w14:paraId="3ADE9912" w14:textId="77777777" w:rsidR="003D4328" w:rsidRPr="001923C1" w:rsidRDefault="0057770F" w:rsidP="003D4328">
      <w:pPr>
        <w:spacing w:after="0" w:line="240" w:lineRule="auto"/>
        <w:rPr>
          <w:b/>
          <w:color w:val="1F4E79" w:themeColor="accent1" w:themeShade="80"/>
          <w:sz w:val="28"/>
          <w:szCs w:val="28"/>
        </w:rPr>
      </w:pPr>
      <w:r w:rsidRPr="001923C1">
        <w:rPr>
          <w:b/>
          <w:color w:val="1F4E79" w:themeColor="accent1" w:themeShade="80"/>
          <w:sz w:val="28"/>
          <w:szCs w:val="28"/>
        </w:rPr>
        <w:t>Důležité termíny:</w:t>
      </w:r>
    </w:p>
    <w:p w14:paraId="08A325F4" w14:textId="77777777" w:rsidR="0057770F" w:rsidRPr="001923C1" w:rsidRDefault="0057770F" w:rsidP="003D4328">
      <w:pPr>
        <w:spacing w:after="0" w:line="240" w:lineRule="auto"/>
        <w:rPr>
          <w:b/>
        </w:rPr>
      </w:pPr>
      <w:r w:rsidRPr="001923C1">
        <w:t>Soutěžní lhůta začíná</w:t>
      </w:r>
      <w:r w:rsidR="00AB60CA" w:rsidRPr="001923C1">
        <w:t xml:space="preserve"> </w:t>
      </w:r>
      <w:r w:rsidR="00970A1B">
        <w:rPr>
          <w:b/>
        </w:rPr>
        <w:t>9</w:t>
      </w:r>
      <w:r w:rsidR="00647EBB">
        <w:rPr>
          <w:b/>
        </w:rPr>
        <w:t xml:space="preserve">. </w:t>
      </w:r>
      <w:r w:rsidR="00970A1B">
        <w:rPr>
          <w:b/>
        </w:rPr>
        <w:t>2</w:t>
      </w:r>
      <w:r w:rsidR="00647EBB">
        <w:rPr>
          <w:b/>
        </w:rPr>
        <w:t>. 202</w:t>
      </w:r>
      <w:r w:rsidR="00970A1B">
        <w:rPr>
          <w:b/>
        </w:rPr>
        <w:t>3</w:t>
      </w:r>
      <w:r w:rsidR="002F5811">
        <w:rPr>
          <w:b/>
        </w:rPr>
        <w:t xml:space="preserve"> </w:t>
      </w:r>
      <w:r w:rsidR="002F5811" w:rsidRPr="002F5811">
        <w:t>v 9:00</w:t>
      </w:r>
    </w:p>
    <w:p w14:paraId="75F3B005" w14:textId="77777777" w:rsidR="00A863FE" w:rsidRDefault="0057770F" w:rsidP="003D4328">
      <w:pPr>
        <w:spacing w:after="0" w:line="240" w:lineRule="auto"/>
      </w:pPr>
      <w:r w:rsidRPr="001923C1">
        <w:t xml:space="preserve">Soutěžní lhůta končí: </w:t>
      </w:r>
      <w:r w:rsidR="00970A1B">
        <w:rPr>
          <w:b/>
        </w:rPr>
        <w:t>5</w:t>
      </w:r>
      <w:r w:rsidR="002F21BE" w:rsidRPr="00A863FE">
        <w:rPr>
          <w:b/>
        </w:rPr>
        <w:t>.</w:t>
      </w:r>
      <w:r w:rsidR="00970A1B">
        <w:rPr>
          <w:b/>
        </w:rPr>
        <w:t>4</w:t>
      </w:r>
      <w:r w:rsidR="002F21BE" w:rsidRPr="00A863FE">
        <w:rPr>
          <w:b/>
        </w:rPr>
        <w:t>.202</w:t>
      </w:r>
      <w:r w:rsidR="00970A1B">
        <w:rPr>
          <w:b/>
        </w:rPr>
        <w:t>3</w:t>
      </w:r>
      <w:r w:rsidR="00A863FE" w:rsidRPr="00A863FE">
        <w:t xml:space="preserve"> </w:t>
      </w:r>
      <w:r w:rsidR="002F5811">
        <w:t>v 16:29:59 – podání návrhu projektu prostřednictvím ISTA</w:t>
      </w:r>
    </w:p>
    <w:p w14:paraId="20B49A5E" w14:textId="77777777" w:rsidR="002F5811" w:rsidRDefault="002F5811" w:rsidP="003D4328">
      <w:pPr>
        <w:tabs>
          <w:tab w:val="left" w:pos="2775"/>
        </w:tabs>
        <w:spacing w:after="0" w:line="240" w:lineRule="auto"/>
      </w:pPr>
      <w:r>
        <w:tab/>
        <w:t xml:space="preserve">v 23:59:59 – odeslání potvrzení podání z datové schránky hlavního   </w:t>
      </w:r>
    </w:p>
    <w:p w14:paraId="4B92C703" w14:textId="77777777" w:rsidR="002F5811" w:rsidRDefault="002F5811" w:rsidP="003D4328">
      <w:pPr>
        <w:tabs>
          <w:tab w:val="left" w:pos="2775"/>
        </w:tabs>
        <w:spacing w:after="0" w:line="240" w:lineRule="auto"/>
      </w:pPr>
      <w:r>
        <w:t xml:space="preserve">                                                                               uchazeče a dokladů k prokázání způsobilosti</w:t>
      </w:r>
    </w:p>
    <w:p w14:paraId="58E9A723" w14:textId="77777777" w:rsidR="00894BEB" w:rsidRPr="00774823" w:rsidRDefault="00894BEB" w:rsidP="003D4328">
      <w:pPr>
        <w:spacing w:after="0" w:line="240" w:lineRule="auto"/>
        <w:rPr>
          <w:b/>
        </w:rPr>
      </w:pPr>
      <w:r w:rsidRPr="00774823">
        <w:t>Vyhlášení výsledků soutěže:</w:t>
      </w:r>
      <w:r w:rsidRPr="00774823">
        <w:rPr>
          <w:b/>
        </w:rPr>
        <w:t xml:space="preserve"> </w:t>
      </w:r>
      <w:r w:rsidR="00970A1B">
        <w:rPr>
          <w:b/>
        </w:rPr>
        <w:t>31.10.</w:t>
      </w:r>
      <w:r w:rsidR="00647EBB">
        <w:rPr>
          <w:b/>
        </w:rPr>
        <w:t>202</w:t>
      </w:r>
      <w:r w:rsidR="00E96464">
        <w:rPr>
          <w:b/>
        </w:rPr>
        <w:t>3</w:t>
      </w:r>
    </w:p>
    <w:p w14:paraId="16BDDCE2" w14:textId="77777777" w:rsidR="00894BEB" w:rsidRPr="00970A1B" w:rsidRDefault="00894BEB" w:rsidP="003D4328">
      <w:pPr>
        <w:spacing w:after="0" w:line="240" w:lineRule="auto"/>
        <w:rPr>
          <w:b/>
        </w:rPr>
      </w:pPr>
      <w:r w:rsidRPr="00970A1B">
        <w:t>Zahájení řešení projektu:</w:t>
      </w:r>
      <w:r w:rsidRPr="00970A1B">
        <w:rPr>
          <w:b/>
        </w:rPr>
        <w:t xml:space="preserve"> </w:t>
      </w:r>
      <w:r w:rsidR="00970A1B">
        <w:rPr>
          <w:b/>
        </w:rPr>
        <w:t>leden 2024</w:t>
      </w:r>
    </w:p>
    <w:p w14:paraId="0CCF848D" w14:textId="77777777" w:rsidR="00894BEB" w:rsidRPr="00970A1B" w:rsidRDefault="00894BEB" w:rsidP="003D4328">
      <w:pPr>
        <w:spacing w:after="0" w:line="240" w:lineRule="auto"/>
        <w:rPr>
          <w:b/>
        </w:rPr>
      </w:pPr>
      <w:r w:rsidRPr="00970A1B">
        <w:t>Nejzazší termín ukončení řešení projektu:</w:t>
      </w:r>
      <w:r w:rsidR="0003137D" w:rsidRPr="00970A1B">
        <w:t xml:space="preserve"> </w:t>
      </w:r>
      <w:r w:rsidR="00970A1B">
        <w:rPr>
          <w:b/>
        </w:rPr>
        <w:t>prosinec 2025</w:t>
      </w:r>
    </w:p>
    <w:p w14:paraId="101CBC6A" w14:textId="77777777" w:rsidR="00894BEB" w:rsidRPr="00970A1B" w:rsidRDefault="00894BEB" w:rsidP="003D4328">
      <w:pPr>
        <w:spacing w:after="0" w:line="240" w:lineRule="auto"/>
        <w:rPr>
          <w:b/>
        </w:rPr>
      </w:pPr>
      <w:r w:rsidRPr="00970A1B">
        <w:t>Délka řešení projektu:</w:t>
      </w:r>
      <w:r w:rsidRPr="00970A1B">
        <w:rPr>
          <w:b/>
        </w:rPr>
        <w:t xml:space="preserve"> 12 – </w:t>
      </w:r>
      <w:proofErr w:type="gramStart"/>
      <w:r w:rsidR="00970A1B">
        <w:rPr>
          <w:b/>
        </w:rPr>
        <w:t>24</w:t>
      </w:r>
      <w:r w:rsidR="002F21BE" w:rsidRPr="00970A1B">
        <w:rPr>
          <w:b/>
        </w:rPr>
        <w:t xml:space="preserve"> </w:t>
      </w:r>
      <w:r w:rsidRPr="00970A1B">
        <w:rPr>
          <w:b/>
        </w:rPr>
        <w:t xml:space="preserve"> měsíců</w:t>
      </w:r>
      <w:proofErr w:type="gramEnd"/>
    </w:p>
    <w:p w14:paraId="3974E1E9" w14:textId="77777777" w:rsidR="0057770F" w:rsidRPr="00970A1B" w:rsidRDefault="0057770F" w:rsidP="003D4328">
      <w:pPr>
        <w:spacing w:after="0" w:line="240" w:lineRule="auto"/>
        <w:rPr>
          <w:b/>
        </w:rPr>
      </w:pPr>
    </w:p>
    <w:p w14:paraId="540B7259" w14:textId="77777777" w:rsidR="003D4328" w:rsidRDefault="00531DCA" w:rsidP="003D4328">
      <w:pPr>
        <w:spacing w:after="0" w:line="240" w:lineRule="auto"/>
        <w:rPr>
          <w:b/>
          <w:color w:val="1F4E79" w:themeColor="accent1" w:themeShade="80"/>
          <w:sz w:val="28"/>
          <w:szCs w:val="28"/>
        </w:rPr>
      </w:pPr>
      <w:r>
        <w:rPr>
          <w:b/>
          <w:color w:val="1F4E79" w:themeColor="accent1" w:themeShade="80"/>
          <w:sz w:val="28"/>
          <w:szCs w:val="28"/>
        </w:rPr>
        <w:t>Kontaktní osoby:</w:t>
      </w:r>
    </w:p>
    <w:p w14:paraId="562E9DD7" w14:textId="77777777" w:rsidR="00531DCA" w:rsidRDefault="00531DCA" w:rsidP="003D4328">
      <w:pPr>
        <w:spacing w:after="0" w:line="240" w:lineRule="auto"/>
        <w:rPr>
          <w:b/>
        </w:rPr>
      </w:pPr>
      <w:r>
        <w:rPr>
          <w:b/>
        </w:rPr>
        <w:t xml:space="preserve">Soutěž TAČR na VUT Brno – Ing. </w:t>
      </w:r>
      <w:r w:rsidR="00E96464">
        <w:rPr>
          <w:b/>
        </w:rPr>
        <w:t>Veronika Pilcerová</w:t>
      </w:r>
      <w:r>
        <w:rPr>
          <w:b/>
        </w:rPr>
        <w:t xml:space="preserve"> (</w:t>
      </w:r>
      <w:hyperlink r:id="rId5" w:history="1">
        <w:r w:rsidR="00E96464" w:rsidRPr="00CC21A4">
          <w:rPr>
            <w:rStyle w:val="Hypertextovodkaz"/>
            <w:b/>
          </w:rPr>
          <w:t>pilcerova@vutbr.cz</w:t>
        </w:r>
      </w:hyperlink>
      <w:r>
        <w:rPr>
          <w:b/>
        </w:rPr>
        <w:t>, kl. 5237)</w:t>
      </w:r>
    </w:p>
    <w:p w14:paraId="556A3551" w14:textId="77777777" w:rsidR="00531DCA" w:rsidRDefault="00531DCA" w:rsidP="003D4328">
      <w:pPr>
        <w:spacing w:after="0" w:line="240" w:lineRule="auto"/>
        <w:rPr>
          <w:b/>
        </w:rPr>
      </w:pPr>
      <w:r>
        <w:rPr>
          <w:b/>
        </w:rPr>
        <w:t xml:space="preserve">Duševní vlastnictví, konzultace smlouvy mezi uchazeči, </w:t>
      </w:r>
      <w:proofErr w:type="spellStart"/>
      <w:r>
        <w:rPr>
          <w:b/>
        </w:rPr>
        <w:t>Letter</w:t>
      </w:r>
      <w:proofErr w:type="spellEnd"/>
      <w:r>
        <w:rPr>
          <w:b/>
        </w:rPr>
        <w:t xml:space="preserve"> </w:t>
      </w:r>
      <w:proofErr w:type="spellStart"/>
      <w:r>
        <w:rPr>
          <w:b/>
        </w:rPr>
        <w:t>of</w:t>
      </w:r>
      <w:proofErr w:type="spellEnd"/>
      <w:r>
        <w:rPr>
          <w:b/>
        </w:rPr>
        <w:t xml:space="preserve"> </w:t>
      </w:r>
      <w:proofErr w:type="spellStart"/>
      <w:r>
        <w:rPr>
          <w:b/>
        </w:rPr>
        <w:t>intent</w:t>
      </w:r>
      <w:proofErr w:type="spellEnd"/>
      <w:r>
        <w:rPr>
          <w:b/>
        </w:rPr>
        <w:t xml:space="preserve"> – OTT – </w:t>
      </w:r>
      <w:r w:rsidR="005A37C6">
        <w:rPr>
          <w:b/>
        </w:rPr>
        <w:t>Mgr. Michaela Daňková</w:t>
      </w:r>
      <w:r>
        <w:rPr>
          <w:b/>
        </w:rPr>
        <w:t xml:space="preserve"> (</w:t>
      </w:r>
      <w:hyperlink r:id="rId6" w:history="1">
        <w:r w:rsidR="005A37C6" w:rsidRPr="00626B61">
          <w:rPr>
            <w:rStyle w:val="Hypertextovodkaz"/>
            <w:b/>
          </w:rPr>
          <w:t>dankovam@vutbr.cz</w:t>
        </w:r>
      </w:hyperlink>
      <w:r>
        <w:rPr>
          <w:b/>
        </w:rPr>
        <w:t>, kl. 422</w:t>
      </w:r>
      <w:r w:rsidR="005A37C6">
        <w:rPr>
          <w:b/>
        </w:rPr>
        <w:t>8</w:t>
      </w:r>
      <w:r>
        <w:rPr>
          <w:b/>
        </w:rPr>
        <w:t>)</w:t>
      </w:r>
    </w:p>
    <w:p w14:paraId="668C5A10" w14:textId="77777777" w:rsidR="00A9566B" w:rsidRDefault="00A9566B" w:rsidP="003D4328">
      <w:pPr>
        <w:spacing w:after="0" w:line="240" w:lineRule="auto"/>
        <w:jc w:val="both"/>
        <w:rPr>
          <w:b/>
        </w:rPr>
      </w:pPr>
      <w:r>
        <w:rPr>
          <w:b/>
        </w:rPr>
        <w:t xml:space="preserve">Proces průběhu ochrany duševního vlastnictví (vč. podání přihlášky patentu, užitného vzoru nebo průmyslového vzoru) – JUDr. Iva Horká </w:t>
      </w:r>
      <w:hyperlink r:id="rId7" w:history="1">
        <w:r w:rsidRPr="00880B29">
          <w:rPr>
            <w:rStyle w:val="Hypertextovodkaz"/>
            <w:b/>
          </w:rPr>
          <w:t>horka@vutbr.cz</w:t>
        </w:r>
      </w:hyperlink>
      <w:r>
        <w:rPr>
          <w:b/>
        </w:rPr>
        <w:t xml:space="preserve">, kl.4225; Ing. Jana Ondroušková, </w:t>
      </w:r>
      <w:proofErr w:type="spellStart"/>
      <w:r>
        <w:rPr>
          <w:b/>
        </w:rPr>
        <w:t>Ph.d.</w:t>
      </w:r>
      <w:proofErr w:type="spellEnd"/>
      <w:r>
        <w:rPr>
          <w:b/>
        </w:rPr>
        <w:t xml:space="preserve"> </w:t>
      </w:r>
      <w:hyperlink r:id="rId8" w:history="1">
        <w:r w:rsidRPr="00880B29">
          <w:rPr>
            <w:rStyle w:val="Hypertextovodkaz"/>
            <w:b/>
          </w:rPr>
          <w:t>jana.ondrouskova@vutbr.cz</w:t>
        </w:r>
      </w:hyperlink>
      <w:r>
        <w:rPr>
          <w:b/>
        </w:rPr>
        <w:t xml:space="preserve"> , kl. 4224; Bc. Sára Sepšiová </w:t>
      </w:r>
      <w:hyperlink r:id="rId9" w:history="1">
        <w:r w:rsidRPr="00880B29">
          <w:rPr>
            <w:rStyle w:val="Hypertextovodkaz"/>
            <w:b/>
          </w:rPr>
          <w:t>sepsiova@vutbr.cz</w:t>
        </w:r>
      </w:hyperlink>
      <w:r>
        <w:rPr>
          <w:b/>
        </w:rPr>
        <w:t xml:space="preserve"> , kl. 4230 )</w:t>
      </w:r>
    </w:p>
    <w:p w14:paraId="3167F865" w14:textId="77777777" w:rsidR="00531DCA" w:rsidRDefault="00531DCA" w:rsidP="003D4328">
      <w:pPr>
        <w:spacing w:after="0" w:line="240" w:lineRule="auto"/>
        <w:rPr>
          <w:b/>
        </w:rPr>
      </w:pPr>
      <w:r>
        <w:rPr>
          <w:b/>
        </w:rPr>
        <w:t>Otázka DPH v projektech TAČR – Ing. Romana Sasková (</w:t>
      </w:r>
      <w:hyperlink r:id="rId10" w:history="1">
        <w:r w:rsidRPr="00882517">
          <w:rPr>
            <w:rStyle w:val="Hypertextovodkaz"/>
            <w:b/>
          </w:rPr>
          <w:t>saskova@vutbr.cz</w:t>
        </w:r>
      </w:hyperlink>
      <w:r>
        <w:rPr>
          <w:b/>
        </w:rPr>
        <w:t>, kl. 5356)</w:t>
      </w:r>
    </w:p>
    <w:p w14:paraId="7CB119B2" w14:textId="77777777" w:rsidR="00531DCA" w:rsidRDefault="00531DCA" w:rsidP="003D4328">
      <w:pPr>
        <w:spacing w:after="0" w:line="240" w:lineRule="auto"/>
        <w:rPr>
          <w:b/>
        </w:rPr>
      </w:pPr>
      <w:r w:rsidRPr="00E656CA">
        <w:rPr>
          <w:b/>
        </w:rPr>
        <w:t xml:space="preserve">Zadání do APOLLA pod programem </w:t>
      </w:r>
      <w:r w:rsidRPr="00023C3F">
        <w:rPr>
          <w:b/>
        </w:rPr>
        <w:t xml:space="preserve">financování: </w:t>
      </w:r>
      <w:r w:rsidR="0083332B" w:rsidRPr="00023C3F">
        <w:rPr>
          <w:b/>
        </w:rPr>
        <w:t>TQ0</w:t>
      </w:r>
      <w:r w:rsidR="00023C3F" w:rsidRPr="00023C3F">
        <w:rPr>
          <w:b/>
        </w:rPr>
        <w:t>2</w:t>
      </w:r>
      <w:r w:rsidR="0083332B" w:rsidRPr="00023C3F">
        <w:rPr>
          <w:b/>
        </w:rPr>
        <w:t>0</w:t>
      </w:r>
    </w:p>
    <w:p w14:paraId="3133CE28" w14:textId="77777777" w:rsidR="00A9566B" w:rsidRPr="00E656CA" w:rsidRDefault="00A9566B" w:rsidP="003D4328">
      <w:pPr>
        <w:spacing w:after="0" w:line="240" w:lineRule="auto"/>
        <w:rPr>
          <w:b/>
        </w:rPr>
      </w:pPr>
    </w:p>
    <w:p w14:paraId="2B789E30" w14:textId="77777777" w:rsidR="00531DCA" w:rsidRPr="00A863FE" w:rsidRDefault="00531DCA" w:rsidP="003D4328">
      <w:pPr>
        <w:spacing w:after="0" w:line="240" w:lineRule="auto"/>
        <w:rPr>
          <w:b/>
          <w:color w:val="1F4E79" w:themeColor="accent1" w:themeShade="80"/>
          <w:szCs w:val="28"/>
        </w:rPr>
      </w:pPr>
    </w:p>
    <w:p w14:paraId="4D59601E" w14:textId="77777777" w:rsidR="003D4328" w:rsidRDefault="00C10D9F" w:rsidP="003D4328">
      <w:pPr>
        <w:spacing w:after="0" w:line="240" w:lineRule="auto"/>
        <w:rPr>
          <w:b/>
          <w:color w:val="1F4E79" w:themeColor="accent1" w:themeShade="80"/>
          <w:sz w:val="28"/>
          <w:szCs w:val="28"/>
        </w:rPr>
      </w:pPr>
      <w:r w:rsidRPr="00774823">
        <w:rPr>
          <w:b/>
          <w:color w:val="1F4E79" w:themeColor="accent1" w:themeShade="80"/>
          <w:sz w:val="28"/>
          <w:szCs w:val="28"/>
        </w:rPr>
        <w:t>Odkaz na soutěž:</w:t>
      </w:r>
    </w:p>
    <w:p w14:paraId="78C94014" w14:textId="77777777" w:rsidR="00E96464" w:rsidRDefault="00A52156" w:rsidP="003D4328">
      <w:pPr>
        <w:spacing w:after="0" w:line="240" w:lineRule="auto"/>
        <w:jc w:val="both"/>
      </w:pPr>
      <w:hyperlink r:id="rId11" w:history="1">
        <w:r w:rsidR="00970A1B" w:rsidRPr="00506A41">
          <w:rPr>
            <w:rStyle w:val="Hypertextovodkaz"/>
          </w:rPr>
          <w:t>https://www.tacr.cz/soutez/nezarazeno/druha-verejna-soutez-dilci-cil-2-zacinajici-vyzkumnici-vyzkumnice-a-vyrovnavani-prilezitosti-v-projektech-aplikovaneho-vyzkumu/</w:t>
        </w:r>
      </w:hyperlink>
      <w:r w:rsidR="00970A1B">
        <w:t xml:space="preserve"> </w:t>
      </w:r>
      <w:r w:rsidR="002F21BE">
        <w:t xml:space="preserve"> </w:t>
      </w:r>
    </w:p>
    <w:p w14:paraId="5BAC2FA8" w14:textId="77777777" w:rsidR="002F21BE" w:rsidRPr="00A863FE" w:rsidRDefault="002F21BE" w:rsidP="003D4328">
      <w:pPr>
        <w:spacing w:after="0" w:line="240" w:lineRule="auto"/>
        <w:rPr>
          <w:b/>
          <w:color w:val="1F4E79" w:themeColor="accent1" w:themeShade="80"/>
          <w:szCs w:val="28"/>
        </w:rPr>
      </w:pPr>
    </w:p>
    <w:p w14:paraId="77AD2B8D" w14:textId="77777777" w:rsidR="003D4328" w:rsidRDefault="00774823" w:rsidP="003D4328">
      <w:pPr>
        <w:spacing w:after="0" w:line="240" w:lineRule="auto"/>
        <w:rPr>
          <w:b/>
          <w:color w:val="1F4E79" w:themeColor="accent1" w:themeShade="80"/>
          <w:sz w:val="28"/>
          <w:szCs w:val="28"/>
        </w:rPr>
      </w:pPr>
      <w:r w:rsidRPr="00774823">
        <w:rPr>
          <w:b/>
          <w:color w:val="1F4E79" w:themeColor="accent1" w:themeShade="80"/>
          <w:sz w:val="28"/>
          <w:szCs w:val="28"/>
        </w:rPr>
        <w:t>Zaměření programu:</w:t>
      </w:r>
    </w:p>
    <w:p w14:paraId="496CB32A" w14:textId="77777777" w:rsidR="00970A1B" w:rsidRDefault="002F5811" w:rsidP="003D4328">
      <w:pPr>
        <w:spacing w:after="0" w:line="240" w:lineRule="auto"/>
        <w:jc w:val="both"/>
      </w:pPr>
      <w:r>
        <w:t xml:space="preserve">Veřejná soutěž programu </w:t>
      </w:r>
      <w:proofErr w:type="gramStart"/>
      <w:r>
        <w:t>SIGMA - Dílčí</w:t>
      </w:r>
      <w:proofErr w:type="gramEnd"/>
      <w:r>
        <w:t xml:space="preserve"> cíl 2: Začínající výzkumníci/výzkumnice a vyrovnávání příležitostí v projektech aplikovaného výzkumu (dále jen “SIGMA DC2”) se zaměřuje na zvýšení zapojení začínajících výzkumníků ve všech oblastech aplikovaného výzkumu při řešení konkrétních projektů přímo se subjekty z aplikační praxe. Dalším cílem je podpořit vyrovnání příležitostí pro ženy a muže v konkurenci aplikovaného výzkumu. </w:t>
      </w:r>
    </w:p>
    <w:p w14:paraId="6A221E4F" w14:textId="77777777" w:rsidR="002C5B89" w:rsidRPr="00970A1B" w:rsidRDefault="002C5B89" w:rsidP="003D4328">
      <w:pPr>
        <w:spacing w:after="0" w:line="240" w:lineRule="auto"/>
        <w:rPr>
          <w:b/>
          <w:color w:val="1F4E79" w:themeColor="accent1" w:themeShade="80"/>
          <w:sz w:val="28"/>
          <w:szCs w:val="28"/>
          <w:highlight w:val="yellow"/>
        </w:rPr>
      </w:pPr>
    </w:p>
    <w:p w14:paraId="39F1A48D" w14:textId="77777777" w:rsidR="001B6ECD" w:rsidRPr="00DA0DE1" w:rsidRDefault="001B6ECD" w:rsidP="003D4328">
      <w:pPr>
        <w:autoSpaceDE w:val="0"/>
        <w:autoSpaceDN w:val="0"/>
        <w:adjustRightInd w:val="0"/>
        <w:spacing w:after="0" w:line="240" w:lineRule="auto"/>
        <w:rPr>
          <w:rFonts w:ascii="Calibri" w:hAnsi="Calibri" w:cs="Calibri"/>
          <w:b/>
          <w:bCs/>
          <w:color w:val="FF0000"/>
        </w:rPr>
      </w:pPr>
      <w:r w:rsidRPr="00DA0DE1">
        <w:rPr>
          <w:rFonts w:ascii="Calibri" w:hAnsi="Calibri" w:cs="Calibri"/>
          <w:b/>
          <w:bCs/>
          <w:color w:val="FF0000"/>
        </w:rPr>
        <w:t xml:space="preserve">Novinka! </w:t>
      </w:r>
    </w:p>
    <w:p w14:paraId="064285A0" w14:textId="77777777" w:rsidR="002F5811" w:rsidRPr="00DA0DE1" w:rsidRDefault="002F5811" w:rsidP="003D4328">
      <w:pPr>
        <w:spacing w:after="0" w:line="240" w:lineRule="auto"/>
        <w:jc w:val="both"/>
        <w:rPr>
          <w:b/>
        </w:rPr>
      </w:pPr>
      <w:r w:rsidRPr="00DA0DE1">
        <w:rPr>
          <w:b/>
        </w:rPr>
        <w:t>Gender v obsahu výzkumu a inovací</w:t>
      </w:r>
    </w:p>
    <w:p w14:paraId="410CFAC8" w14:textId="77777777" w:rsidR="00DA0DE1" w:rsidRDefault="002F5811" w:rsidP="003D4328">
      <w:pPr>
        <w:spacing w:after="0" w:line="240" w:lineRule="auto"/>
        <w:jc w:val="both"/>
      </w:pPr>
      <w:r>
        <w:t xml:space="preserve">Uchazeči v návrhu projektu uvedou, jak budou výsledky výzkumu využívat různé skupiny populace s ohledem na genderovou dimenzi předmětu a dopadu výzkumu. Pro více informací využijte dokument Genderová dimenze v obsahu výzkumu. </w:t>
      </w:r>
    </w:p>
    <w:p w14:paraId="29FD9237" w14:textId="77777777" w:rsidR="00DA0DE1" w:rsidRDefault="00DA0DE1" w:rsidP="003D4328">
      <w:pPr>
        <w:spacing w:after="0" w:line="240" w:lineRule="auto"/>
      </w:pPr>
    </w:p>
    <w:p w14:paraId="7FDF0D5C" w14:textId="77777777" w:rsidR="00DA0DE1" w:rsidRPr="00DA0DE1" w:rsidRDefault="00DA0DE1" w:rsidP="003D4328">
      <w:pPr>
        <w:autoSpaceDE w:val="0"/>
        <w:autoSpaceDN w:val="0"/>
        <w:adjustRightInd w:val="0"/>
        <w:spacing w:after="0" w:line="240" w:lineRule="auto"/>
        <w:rPr>
          <w:rFonts w:ascii="Calibri" w:hAnsi="Calibri" w:cs="Calibri"/>
          <w:b/>
          <w:bCs/>
          <w:color w:val="FF0000"/>
        </w:rPr>
      </w:pPr>
      <w:r w:rsidRPr="00DA0DE1">
        <w:rPr>
          <w:rFonts w:ascii="Calibri" w:hAnsi="Calibri" w:cs="Calibri"/>
          <w:b/>
          <w:bCs/>
          <w:color w:val="FF0000"/>
        </w:rPr>
        <w:t xml:space="preserve">Novinka! </w:t>
      </w:r>
    </w:p>
    <w:p w14:paraId="2B108A45" w14:textId="77777777" w:rsidR="00DA0DE1" w:rsidRPr="00DA0DE1" w:rsidRDefault="002F5811" w:rsidP="003D4328">
      <w:pPr>
        <w:spacing w:after="0" w:line="240" w:lineRule="auto"/>
        <w:rPr>
          <w:b/>
        </w:rPr>
      </w:pPr>
      <w:r w:rsidRPr="00DA0DE1">
        <w:rPr>
          <w:b/>
        </w:rPr>
        <w:t>Etická dimenze a nežádoucí společenské dopady</w:t>
      </w:r>
    </w:p>
    <w:p w14:paraId="349538AE" w14:textId="77777777" w:rsidR="003D709A" w:rsidRPr="003D4328" w:rsidRDefault="002F5811" w:rsidP="003D4328">
      <w:pPr>
        <w:spacing w:after="0" w:line="240" w:lineRule="auto"/>
        <w:jc w:val="both"/>
      </w:pPr>
      <w:r>
        <w:t>Uchazeči dále v návrhu projektu popíší, jaké jsou potenciálně negativní dopady výstupů nebo výsledků podávaného návrhu projektu na společnost nebo jednotlivce. Uchazeči rovněž popíšou způsoby, kterými lze eliminovat nebo minimalizovat možná rizika negativních dopadů.</w:t>
      </w:r>
    </w:p>
    <w:p w14:paraId="5BAC4D37" w14:textId="77777777" w:rsidR="004D1883" w:rsidRDefault="004D1883" w:rsidP="003D4328">
      <w:pPr>
        <w:spacing w:after="0" w:line="240" w:lineRule="auto"/>
        <w:rPr>
          <w:b/>
          <w:color w:val="1F4E79" w:themeColor="accent1" w:themeShade="80"/>
          <w:sz w:val="28"/>
          <w:szCs w:val="28"/>
        </w:rPr>
      </w:pPr>
    </w:p>
    <w:p w14:paraId="7C1B274B" w14:textId="77777777" w:rsidR="0057770F" w:rsidRPr="002F5811" w:rsidRDefault="0057770F" w:rsidP="003D4328">
      <w:pPr>
        <w:spacing w:after="0" w:line="240" w:lineRule="auto"/>
        <w:rPr>
          <w:b/>
          <w:color w:val="1F4E79" w:themeColor="accent1" w:themeShade="80"/>
          <w:sz w:val="28"/>
          <w:szCs w:val="28"/>
        </w:rPr>
      </w:pPr>
      <w:r w:rsidRPr="002F5811">
        <w:rPr>
          <w:b/>
          <w:color w:val="1F4E79" w:themeColor="accent1" w:themeShade="80"/>
          <w:sz w:val="28"/>
          <w:szCs w:val="28"/>
        </w:rPr>
        <w:lastRenderedPageBreak/>
        <w:t>Uchazeči:</w:t>
      </w:r>
    </w:p>
    <w:p w14:paraId="38BF732A" w14:textId="77777777" w:rsidR="003D4328" w:rsidRDefault="00AB60CA" w:rsidP="003D4328">
      <w:pPr>
        <w:pStyle w:val="Odstavecseseznamem"/>
        <w:numPr>
          <w:ilvl w:val="0"/>
          <w:numId w:val="32"/>
        </w:numPr>
        <w:spacing w:after="0" w:line="240" w:lineRule="auto"/>
        <w:jc w:val="both"/>
      </w:pPr>
      <w:r w:rsidRPr="002F5811">
        <w:t xml:space="preserve">podniky  </w:t>
      </w:r>
    </w:p>
    <w:p w14:paraId="23B1E31C" w14:textId="77777777" w:rsidR="0083332B" w:rsidRPr="002F5811" w:rsidRDefault="00AB60CA" w:rsidP="003D4328">
      <w:pPr>
        <w:pStyle w:val="Odstavecseseznamem"/>
        <w:numPr>
          <w:ilvl w:val="0"/>
          <w:numId w:val="32"/>
        </w:numPr>
        <w:spacing w:after="0" w:line="240" w:lineRule="auto"/>
        <w:jc w:val="both"/>
      </w:pPr>
      <w:r w:rsidRPr="002F5811">
        <w:t>výzkumné organizace</w:t>
      </w:r>
    </w:p>
    <w:p w14:paraId="7A625C45" w14:textId="77777777" w:rsidR="00006642" w:rsidRDefault="00006642" w:rsidP="003D4328">
      <w:pPr>
        <w:spacing w:after="0" w:line="240" w:lineRule="auto"/>
        <w:jc w:val="both"/>
        <w:rPr>
          <w:highlight w:val="yellow"/>
        </w:rPr>
      </w:pPr>
    </w:p>
    <w:p w14:paraId="2A7ABEA0" w14:textId="77777777" w:rsidR="00006642" w:rsidRPr="00006642" w:rsidRDefault="00006642" w:rsidP="003D4328">
      <w:pPr>
        <w:spacing w:after="0" w:line="240" w:lineRule="auto"/>
        <w:jc w:val="both"/>
        <w:rPr>
          <w:b/>
          <w:highlight w:val="yellow"/>
        </w:rPr>
      </w:pPr>
      <w:r w:rsidRPr="00006642">
        <w:rPr>
          <w:b/>
        </w:rPr>
        <w:t>V návrhu projektu musí být (v roli hlavního uchazeče nebo dalšího účastníka) minimálně jeden podnik a minimálně jedna výzkumná organizace.</w:t>
      </w:r>
    </w:p>
    <w:p w14:paraId="41EFC7D5" w14:textId="77777777" w:rsidR="00A863FE" w:rsidRPr="002F5811" w:rsidRDefault="00A863FE" w:rsidP="003D4328">
      <w:pPr>
        <w:spacing w:after="0" w:line="240" w:lineRule="auto"/>
      </w:pPr>
    </w:p>
    <w:p w14:paraId="26D209B3" w14:textId="77777777" w:rsidR="002F21BE" w:rsidRPr="002F5811" w:rsidRDefault="002F21BE" w:rsidP="003D4328">
      <w:pPr>
        <w:spacing w:after="0" w:line="240" w:lineRule="auto"/>
      </w:pPr>
      <w:r w:rsidRPr="002F5811">
        <w:t xml:space="preserve">Hlavní uchazeč může: </w:t>
      </w:r>
    </w:p>
    <w:p w14:paraId="62CAF144" w14:textId="77777777" w:rsidR="003D4328" w:rsidRDefault="002F21BE" w:rsidP="003D4328">
      <w:pPr>
        <w:pStyle w:val="Odstavecseseznamem"/>
        <w:numPr>
          <w:ilvl w:val="0"/>
          <w:numId w:val="35"/>
        </w:numPr>
        <w:spacing w:after="0" w:line="240" w:lineRule="auto"/>
      </w:pPr>
      <w:r w:rsidRPr="002F5811">
        <w:t xml:space="preserve">být pouze subjekt, který má sídlo, provozovnu nebo pobočku v České republice; </w:t>
      </w:r>
    </w:p>
    <w:p w14:paraId="1E96A45B" w14:textId="77777777" w:rsidR="002B225D" w:rsidRPr="002F5811" w:rsidRDefault="002F21BE" w:rsidP="003D4328">
      <w:pPr>
        <w:pStyle w:val="Odstavecseseznamem"/>
        <w:numPr>
          <w:ilvl w:val="0"/>
          <w:numId w:val="35"/>
        </w:numPr>
        <w:spacing w:after="0" w:line="240" w:lineRule="auto"/>
      </w:pPr>
      <w:r w:rsidRPr="002F5811">
        <w:t>podat neomezený počet návrhů projektů (aby mohl být návrh projektu podpořen, je nutné splnit podmínky stanovené v kapitole 3.</w:t>
      </w:r>
      <w:r w:rsidR="003D4328">
        <w:t>4</w:t>
      </w:r>
      <w:r w:rsidRPr="002F5811">
        <w:t xml:space="preserve"> Vymezení se vůči vlastním obdobným projektům).</w:t>
      </w:r>
    </w:p>
    <w:p w14:paraId="142C0B0E" w14:textId="77777777" w:rsidR="00A863FE" w:rsidRPr="002F5811" w:rsidRDefault="00A863FE" w:rsidP="003D4328">
      <w:pPr>
        <w:spacing w:after="0" w:line="240" w:lineRule="auto"/>
      </w:pPr>
    </w:p>
    <w:p w14:paraId="78B0E350" w14:textId="77777777" w:rsidR="002F21BE" w:rsidRPr="002F5811" w:rsidRDefault="002F21BE" w:rsidP="003D4328">
      <w:pPr>
        <w:spacing w:after="0" w:line="240" w:lineRule="auto"/>
        <w:jc w:val="both"/>
        <w:rPr>
          <w:b/>
          <w:color w:val="1F4E79" w:themeColor="accent1" w:themeShade="80"/>
          <w:sz w:val="28"/>
          <w:szCs w:val="28"/>
        </w:rPr>
      </w:pPr>
      <w:r w:rsidRPr="002F5811">
        <w:t>Další účastník může být subjekt se sídlem v členském státě Evropské unie (včetně České republiky), v jiném státě tvořícím Evropský hospodářský prostor nebo ve Švýcarské konfederaci.</w:t>
      </w:r>
    </w:p>
    <w:p w14:paraId="350D5BFD" w14:textId="77777777" w:rsidR="00970A1B" w:rsidRDefault="00970A1B" w:rsidP="003D4328">
      <w:pPr>
        <w:spacing w:after="0" w:line="240" w:lineRule="auto"/>
        <w:jc w:val="both"/>
        <w:rPr>
          <w:b/>
          <w:color w:val="1F4E79" w:themeColor="accent1" w:themeShade="80"/>
          <w:sz w:val="28"/>
          <w:szCs w:val="28"/>
        </w:rPr>
      </w:pPr>
    </w:p>
    <w:p w14:paraId="5C8ED05A" w14:textId="77777777" w:rsidR="00006642" w:rsidRPr="004D1883" w:rsidRDefault="00970A1B" w:rsidP="003D4328">
      <w:pPr>
        <w:spacing w:after="0" w:line="240" w:lineRule="auto"/>
        <w:rPr>
          <w:b/>
          <w:color w:val="1F4E79" w:themeColor="accent1" w:themeShade="80"/>
          <w:sz w:val="28"/>
          <w:szCs w:val="28"/>
        </w:rPr>
      </w:pPr>
      <w:r w:rsidRPr="00DA0DE1">
        <w:rPr>
          <w:b/>
          <w:color w:val="1F4E79" w:themeColor="accent1" w:themeShade="80"/>
          <w:sz w:val="28"/>
          <w:szCs w:val="28"/>
        </w:rPr>
        <w:t>Řešitelský tým</w:t>
      </w:r>
    </w:p>
    <w:p w14:paraId="6DDBE58F" w14:textId="77777777" w:rsidR="00970A1B" w:rsidRDefault="00970A1B" w:rsidP="003D4328">
      <w:pPr>
        <w:spacing w:after="0" w:line="240" w:lineRule="auto"/>
        <w:rPr>
          <w:b/>
        </w:rPr>
      </w:pPr>
      <w:r w:rsidRPr="00006642">
        <w:rPr>
          <w:b/>
        </w:rPr>
        <w:t xml:space="preserve">Začínající výzkumník/výzkumnice </w:t>
      </w:r>
    </w:p>
    <w:p w14:paraId="28028920" w14:textId="77777777" w:rsidR="00115926" w:rsidRDefault="00DA0DE1" w:rsidP="00115926">
      <w:pPr>
        <w:pStyle w:val="Odstavecseseznamem"/>
        <w:numPr>
          <w:ilvl w:val="0"/>
          <w:numId w:val="37"/>
        </w:numPr>
        <w:spacing w:after="0" w:line="240" w:lineRule="auto"/>
      </w:pPr>
      <w:r>
        <w:t xml:space="preserve">osoba do 35 let </w:t>
      </w:r>
    </w:p>
    <w:p w14:paraId="045352F1" w14:textId="77777777" w:rsidR="00115926" w:rsidRDefault="00DA0DE1" w:rsidP="00115926">
      <w:pPr>
        <w:pStyle w:val="Odstavecseseznamem"/>
        <w:numPr>
          <w:ilvl w:val="0"/>
          <w:numId w:val="37"/>
        </w:numPr>
        <w:spacing w:after="0" w:line="240" w:lineRule="auto"/>
      </w:pPr>
      <w:r>
        <w:t>student bakalářského, magisterského, doktorského studia</w:t>
      </w:r>
    </w:p>
    <w:p w14:paraId="0BA19184" w14:textId="77777777" w:rsidR="00115926" w:rsidRDefault="00DA0DE1" w:rsidP="00115926">
      <w:pPr>
        <w:pStyle w:val="Odstavecseseznamem"/>
        <w:numPr>
          <w:ilvl w:val="0"/>
          <w:numId w:val="37"/>
        </w:numPr>
        <w:spacing w:after="0" w:line="240" w:lineRule="auto"/>
      </w:pPr>
      <w:r>
        <w:t>absolvent, kterému od prvního řádného ukončení nejvyššího stupně studia uběhlo max. 5 let</w:t>
      </w:r>
    </w:p>
    <w:p w14:paraId="50581DA3" w14:textId="77777777" w:rsidR="00115926" w:rsidRDefault="00DA0DE1" w:rsidP="00115926">
      <w:pPr>
        <w:pStyle w:val="Odstavecseseznamem"/>
        <w:numPr>
          <w:ilvl w:val="0"/>
          <w:numId w:val="37"/>
        </w:numPr>
        <w:spacing w:after="0" w:line="240" w:lineRule="auto"/>
      </w:pPr>
      <w:r>
        <w:t>v případě čerpání mateřské dovolené, rodičovské dovolené (maximální započitatelná doba u prvního dítěte jsou 2 roky, v případě dvou a více dětí nejvýše 4 roky) nebo nemocenské, ošetřovného či dlouhodobě ošetřovného (vše v délce trvání přesahující 6 měsíců) je možné dobu strávenou péčí nebo léčbou přičíst k výše uvedeným lhůtám</w:t>
      </w:r>
      <w:proofErr w:type="gramStart"/>
      <w:r>
        <w:t>4 ;</w:t>
      </w:r>
      <w:proofErr w:type="gramEnd"/>
      <w:r>
        <w:t xml:space="preserve"> </w:t>
      </w:r>
    </w:p>
    <w:p w14:paraId="5F75E841" w14:textId="77777777" w:rsidR="00115926" w:rsidRDefault="00DA0DE1" w:rsidP="00115926">
      <w:pPr>
        <w:pStyle w:val="Odstavecseseznamem"/>
        <w:numPr>
          <w:ilvl w:val="0"/>
          <w:numId w:val="37"/>
        </w:numPr>
        <w:spacing w:after="0" w:line="240" w:lineRule="auto"/>
      </w:pPr>
      <w:r w:rsidRPr="00115926">
        <w:t>v klíčových osobách řešitelského týmu musí být minimálně 3 takové osoby</w:t>
      </w:r>
      <w:r>
        <w:t xml:space="preserve">, v případě že bude těchto osob více, všechny musí být začínajícím výzkumníkem/výzkumnicí; </w:t>
      </w:r>
    </w:p>
    <w:p w14:paraId="495BF0FC" w14:textId="77777777" w:rsidR="00DA0DE1" w:rsidRPr="00115926" w:rsidRDefault="00DA0DE1" w:rsidP="00115926">
      <w:pPr>
        <w:pStyle w:val="Odstavecseseznamem"/>
        <w:numPr>
          <w:ilvl w:val="0"/>
          <w:numId w:val="37"/>
        </w:numPr>
        <w:spacing w:after="0" w:line="240" w:lineRule="auto"/>
      </w:pPr>
      <w:r>
        <w:t xml:space="preserve">definice začínajícího výzkumníka/výzkumnice musí být splněna do termínu konce soutěžní lhůty, tedy k 5. 4. 2023. </w:t>
      </w:r>
    </w:p>
    <w:p w14:paraId="6738D88C" w14:textId="77777777" w:rsidR="00DA0DE1" w:rsidRPr="00115926" w:rsidRDefault="00DA0DE1" w:rsidP="00115926">
      <w:pPr>
        <w:pStyle w:val="Odstavecseseznamem"/>
        <w:spacing w:after="0" w:line="240" w:lineRule="auto"/>
      </w:pPr>
    </w:p>
    <w:p w14:paraId="0AD86D5F" w14:textId="77777777" w:rsidR="00970A1B" w:rsidRPr="00006642" w:rsidRDefault="00970A1B" w:rsidP="003D4328">
      <w:pPr>
        <w:spacing w:after="0" w:line="240" w:lineRule="auto"/>
        <w:rPr>
          <w:b/>
        </w:rPr>
      </w:pPr>
      <w:r w:rsidRPr="00006642">
        <w:rPr>
          <w:b/>
        </w:rPr>
        <w:t xml:space="preserve">Mentor </w:t>
      </w:r>
    </w:p>
    <w:p w14:paraId="2BE88851" w14:textId="77777777" w:rsidR="00115926" w:rsidRDefault="00DA0DE1" w:rsidP="00115926">
      <w:pPr>
        <w:pStyle w:val="Odstavecseseznamem"/>
        <w:numPr>
          <w:ilvl w:val="0"/>
          <w:numId w:val="37"/>
        </w:numPr>
        <w:spacing w:after="0" w:line="240" w:lineRule="auto"/>
        <w:rPr>
          <w:b/>
          <w:color w:val="1F4E79" w:themeColor="accent1" w:themeShade="80"/>
          <w:sz w:val="28"/>
          <w:szCs w:val="28"/>
        </w:rPr>
      </w:pPr>
      <w:r>
        <w:t xml:space="preserve">je osoba, jejíž rolí je vedení a motivování začínajících výzkumníků/výzkumnic a předávání odborných zkušeností v dané problematice; </w:t>
      </w:r>
    </w:p>
    <w:p w14:paraId="12C244C0" w14:textId="77777777" w:rsidR="00115926" w:rsidRDefault="00DA0DE1" w:rsidP="00115926">
      <w:pPr>
        <w:pStyle w:val="Odstavecseseznamem"/>
        <w:numPr>
          <w:ilvl w:val="0"/>
          <w:numId w:val="37"/>
        </w:numPr>
        <w:spacing w:after="0" w:line="240" w:lineRule="auto"/>
        <w:rPr>
          <w:b/>
          <w:color w:val="1F4E79" w:themeColor="accent1" w:themeShade="80"/>
          <w:sz w:val="28"/>
          <w:szCs w:val="28"/>
        </w:rPr>
      </w:pPr>
      <w:r>
        <w:t xml:space="preserve">má odpovídající zkušenosti z akademické a/nebo aplikační sféry, ale přímo se nepodílí na řešení projektu; </w:t>
      </w:r>
    </w:p>
    <w:p w14:paraId="41D42B81" w14:textId="77777777" w:rsidR="00115926" w:rsidRDefault="00DA0DE1" w:rsidP="00115926">
      <w:pPr>
        <w:pStyle w:val="Odstavecseseznamem"/>
        <w:numPr>
          <w:ilvl w:val="0"/>
          <w:numId w:val="37"/>
        </w:numPr>
        <w:spacing w:after="0" w:line="240" w:lineRule="auto"/>
        <w:rPr>
          <w:b/>
          <w:color w:val="1F4E79" w:themeColor="accent1" w:themeShade="80"/>
          <w:sz w:val="28"/>
          <w:szCs w:val="28"/>
        </w:rPr>
      </w:pPr>
      <w:r>
        <w:t xml:space="preserve">v této roli může být maximálně 1 osoba na uchazeče, zapojení je však dobrovolné, tzn. tato role nemusí být v návrhu projektu zastoupena; </w:t>
      </w:r>
    </w:p>
    <w:p w14:paraId="0395BEB8" w14:textId="77777777" w:rsidR="00115926" w:rsidRDefault="00DA0DE1" w:rsidP="00115926">
      <w:pPr>
        <w:pStyle w:val="Odstavecseseznamem"/>
        <w:numPr>
          <w:ilvl w:val="0"/>
          <w:numId w:val="37"/>
        </w:numPr>
        <w:spacing w:after="0" w:line="240" w:lineRule="auto"/>
        <w:rPr>
          <w:b/>
          <w:color w:val="1F4E79" w:themeColor="accent1" w:themeShade="80"/>
          <w:sz w:val="28"/>
          <w:szCs w:val="28"/>
        </w:rPr>
      </w:pPr>
      <w:r>
        <w:t xml:space="preserve">ve vztahu k mentorovi jsou uznatelné pouze osobní náklady, a to do výše maximálně 50 tis. Kč/kalendářní rok za jednoho mentora; </w:t>
      </w:r>
    </w:p>
    <w:p w14:paraId="22C25DEE" w14:textId="77777777" w:rsidR="00115926" w:rsidRDefault="00DA0DE1" w:rsidP="00115926">
      <w:pPr>
        <w:pStyle w:val="Odstavecseseznamem"/>
        <w:numPr>
          <w:ilvl w:val="0"/>
          <w:numId w:val="37"/>
        </w:numPr>
        <w:spacing w:after="0" w:line="240" w:lineRule="auto"/>
        <w:rPr>
          <w:b/>
          <w:color w:val="1F4E79" w:themeColor="accent1" w:themeShade="80"/>
          <w:sz w:val="28"/>
          <w:szCs w:val="28"/>
        </w:rPr>
      </w:pPr>
      <w:r>
        <w:t xml:space="preserve">může mít i nulové osobní náklady (tzn. nenárokovat si odměnu); </w:t>
      </w:r>
    </w:p>
    <w:p w14:paraId="159A3912" w14:textId="77777777" w:rsidR="00BB35D3" w:rsidRPr="00115926" w:rsidRDefault="00DA0DE1" w:rsidP="00115926">
      <w:pPr>
        <w:pStyle w:val="Odstavecseseznamem"/>
        <w:numPr>
          <w:ilvl w:val="0"/>
          <w:numId w:val="37"/>
        </w:numPr>
        <w:spacing w:after="0" w:line="240" w:lineRule="auto"/>
        <w:rPr>
          <w:b/>
          <w:color w:val="1F4E79" w:themeColor="accent1" w:themeShade="80"/>
          <w:sz w:val="28"/>
          <w:szCs w:val="28"/>
        </w:rPr>
      </w:pPr>
      <w:r>
        <w:t>nemusí splňovat definici začínajícího výzkumníka/výzkumnice.</w:t>
      </w:r>
    </w:p>
    <w:p w14:paraId="588C3790" w14:textId="77777777" w:rsidR="00DA0DE1" w:rsidRDefault="00DA0DE1" w:rsidP="003D4328">
      <w:pPr>
        <w:spacing w:after="0" w:line="240" w:lineRule="auto"/>
        <w:rPr>
          <w:b/>
          <w:color w:val="1F4E79" w:themeColor="accent1" w:themeShade="80"/>
          <w:sz w:val="28"/>
          <w:szCs w:val="28"/>
        </w:rPr>
      </w:pPr>
    </w:p>
    <w:p w14:paraId="163C68DB" w14:textId="77777777" w:rsidR="00DA0DE1" w:rsidRPr="00DA0DE1" w:rsidRDefault="00DA0DE1" w:rsidP="003D4328">
      <w:pPr>
        <w:spacing w:after="0" w:line="240" w:lineRule="auto"/>
        <w:rPr>
          <w:b/>
          <w:color w:val="1F4E79" w:themeColor="accent1" w:themeShade="80"/>
          <w:sz w:val="28"/>
          <w:szCs w:val="28"/>
        </w:rPr>
      </w:pPr>
      <w:r>
        <w:t>Dále mohou být do řešitelského týmu zapojeny osoby v roli ostatní osoby podílejících se na řešení projektu. Tyto osoby nejsou klíčové pro řešení projektu a nepodílejí se na hlavní výzkumné činnosti. Může se jednat například o administrativní nebo technickou podporu řešení projektu. Osoby v této roli nemusí splňovat definici začínajícího výzkumníka/výzkumnice.</w:t>
      </w:r>
    </w:p>
    <w:p w14:paraId="268F4F5C" w14:textId="77777777" w:rsidR="00006642" w:rsidRDefault="00006642" w:rsidP="003D4328">
      <w:pPr>
        <w:spacing w:after="0" w:line="240" w:lineRule="auto"/>
        <w:rPr>
          <w:b/>
          <w:color w:val="1F4E79" w:themeColor="accent1" w:themeShade="80"/>
          <w:sz w:val="28"/>
          <w:szCs w:val="28"/>
        </w:rPr>
      </w:pPr>
    </w:p>
    <w:p w14:paraId="62E43FEE" w14:textId="77777777" w:rsidR="00115926" w:rsidRDefault="00115926" w:rsidP="003D4328">
      <w:pPr>
        <w:spacing w:after="0" w:line="240" w:lineRule="auto"/>
        <w:rPr>
          <w:b/>
          <w:color w:val="1F4E79" w:themeColor="accent1" w:themeShade="80"/>
          <w:sz w:val="28"/>
          <w:szCs w:val="28"/>
        </w:rPr>
      </w:pPr>
    </w:p>
    <w:p w14:paraId="6975808C" w14:textId="77777777" w:rsidR="004D1883" w:rsidRDefault="004D1883" w:rsidP="003D4328">
      <w:pPr>
        <w:spacing w:after="0" w:line="240" w:lineRule="auto"/>
        <w:rPr>
          <w:b/>
          <w:color w:val="1F4E79" w:themeColor="accent1" w:themeShade="80"/>
          <w:sz w:val="28"/>
          <w:szCs w:val="28"/>
        </w:rPr>
      </w:pPr>
    </w:p>
    <w:p w14:paraId="5BD17B0F" w14:textId="77777777" w:rsidR="00A863FE" w:rsidRPr="00525099" w:rsidRDefault="00BB35D3" w:rsidP="003D4328">
      <w:pPr>
        <w:spacing w:after="0" w:line="240" w:lineRule="auto"/>
        <w:rPr>
          <w:b/>
          <w:color w:val="1F4E79" w:themeColor="accent1" w:themeShade="80"/>
          <w:sz w:val="28"/>
          <w:szCs w:val="28"/>
        </w:rPr>
      </w:pPr>
      <w:r w:rsidRPr="00525099">
        <w:rPr>
          <w:b/>
          <w:color w:val="1F4E79" w:themeColor="accent1" w:themeShade="80"/>
          <w:sz w:val="28"/>
          <w:szCs w:val="28"/>
        </w:rPr>
        <w:lastRenderedPageBreak/>
        <w:t>Základní finanční údaje</w:t>
      </w:r>
    </w:p>
    <w:p w14:paraId="0E6AE67D" w14:textId="77777777" w:rsidR="00BB35D3" w:rsidRPr="000036D5" w:rsidRDefault="00BB35D3" w:rsidP="003D4328">
      <w:pPr>
        <w:spacing w:after="0" w:line="240" w:lineRule="auto"/>
        <w:rPr>
          <w:b/>
        </w:rPr>
      </w:pPr>
      <w:r w:rsidRPr="005A37C6">
        <w:t xml:space="preserve">Alokace soutěže </w:t>
      </w:r>
      <w:r w:rsidRPr="005A37C6">
        <w:rPr>
          <w:b/>
        </w:rPr>
        <w:t xml:space="preserve">– </w:t>
      </w:r>
      <w:r w:rsidR="00970A1B">
        <w:rPr>
          <w:b/>
        </w:rPr>
        <w:t>230</w:t>
      </w:r>
      <w:r>
        <w:rPr>
          <w:b/>
        </w:rPr>
        <w:t xml:space="preserve"> miliónů</w:t>
      </w:r>
      <w:r w:rsidRPr="005A37C6">
        <w:rPr>
          <w:b/>
        </w:rPr>
        <w:t xml:space="preserve"> Kč</w:t>
      </w:r>
    </w:p>
    <w:p w14:paraId="3618FC70" w14:textId="77777777" w:rsidR="00BB35D3" w:rsidRPr="000036D5" w:rsidRDefault="00BB35D3" w:rsidP="003D4328">
      <w:pPr>
        <w:spacing w:after="0" w:line="240" w:lineRule="auto"/>
        <w:rPr>
          <w:b/>
        </w:rPr>
      </w:pPr>
      <w:r w:rsidRPr="000036D5">
        <w:t>Maximální částka podpory na jeden projekt -</w:t>
      </w:r>
      <w:r w:rsidR="00970A1B">
        <w:rPr>
          <w:b/>
        </w:rPr>
        <w:t xml:space="preserve"> 5</w:t>
      </w:r>
      <w:r w:rsidRPr="000036D5">
        <w:rPr>
          <w:b/>
        </w:rPr>
        <w:t xml:space="preserve"> mil. Kč</w:t>
      </w:r>
    </w:p>
    <w:p w14:paraId="779922E9" w14:textId="77777777" w:rsidR="00BB35D3" w:rsidRPr="001923C1" w:rsidRDefault="00BB35D3" w:rsidP="003D4328">
      <w:pPr>
        <w:spacing w:after="0" w:line="240" w:lineRule="auto"/>
        <w:rPr>
          <w:b/>
        </w:rPr>
      </w:pPr>
      <w:r w:rsidRPr="000036D5">
        <w:t xml:space="preserve">Maximální intenzita podpory na projekt - </w:t>
      </w:r>
      <w:r>
        <w:rPr>
          <w:b/>
        </w:rPr>
        <w:t>8</w:t>
      </w:r>
      <w:r w:rsidR="00970A1B">
        <w:rPr>
          <w:b/>
        </w:rPr>
        <w:t>5</w:t>
      </w:r>
      <w:r w:rsidRPr="000036D5">
        <w:rPr>
          <w:b/>
        </w:rPr>
        <w:t xml:space="preserve"> %</w:t>
      </w:r>
    </w:p>
    <w:p w14:paraId="48DD36C3" w14:textId="77777777" w:rsidR="00BB35D3" w:rsidRPr="000036D5" w:rsidRDefault="00BB35D3" w:rsidP="003D4328">
      <w:pPr>
        <w:spacing w:after="0" w:line="240" w:lineRule="auto"/>
        <w:rPr>
          <w:b/>
        </w:rPr>
      </w:pPr>
      <w:r w:rsidRPr="00126231">
        <w:rPr>
          <w:b/>
        </w:rPr>
        <w:t xml:space="preserve">Maximální intenzita podpory pro výzkumnou organizaci </w:t>
      </w:r>
      <w:proofErr w:type="gramStart"/>
      <w:r w:rsidRPr="00126231">
        <w:rPr>
          <w:b/>
        </w:rPr>
        <w:t>-  100</w:t>
      </w:r>
      <w:proofErr w:type="gramEnd"/>
      <w:r w:rsidRPr="00126231">
        <w:rPr>
          <w:b/>
        </w:rPr>
        <w:t>%</w:t>
      </w:r>
    </w:p>
    <w:p w14:paraId="698AA2E4" w14:textId="77777777" w:rsidR="00BB35D3" w:rsidRPr="00115926" w:rsidRDefault="00BB35D3" w:rsidP="003D4328">
      <w:pPr>
        <w:spacing w:after="0" w:line="240" w:lineRule="auto"/>
        <w:rPr>
          <w:b/>
          <w:sz w:val="28"/>
          <w:highlight w:val="yellow"/>
        </w:rPr>
      </w:pPr>
    </w:p>
    <w:p w14:paraId="0697ECAF" w14:textId="77777777" w:rsidR="00A863FE" w:rsidRPr="00970A1B" w:rsidRDefault="00BB35D3" w:rsidP="003D4328">
      <w:pPr>
        <w:spacing w:after="0" w:line="240" w:lineRule="auto"/>
        <w:rPr>
          <w:b/>
          <w:color w:val="1F4E79" w:themeColor="accent1" w:themeShade="80"/>
          <w:sz w:val="28"/>
          <w:szCs w:val="28"/>
        </w:rPr>
      </w:pPr>
      <w:r w:rsidRPr="00970A1B">
        <w:rPr>
          <w:b/>
          <w:color w:val="1F4E79" w:themeColor="accent1" w:themeShade="80"/>
          <w:sz w:val="28"/>
          <w:szCs w:val="28"/>
        </w:rPr>
        <w:t xml:space="preserve">Způsobilé náklady:  </w:t>
      </w:r>
    </w:p>
    <w:p w14:paraId="0D5F9F9D" w14:textId="77777777" w:rsidR="00115926" w:rsidRDefault="00BB35D3" w:rsidP="00115926">
      <w:pPr>
        <w:pStyle w:val="Default"/>
        <w:numPr>
          <w:ilvl w:val="0"/>
          <w:numId w:val="38"/>
        </w:numPr>
        <w:rPr>
          <w:rFonts w:asciiTheme="minorHAnsi" w:hAnsiTheme="minorHAnsi" w:cstheme="minorHAnsi"/>
          <w:sz w:val="22"/>
          <w:szCs w:val="22"/>
        </w:rPr>
      </w:pPr>
      <w:r w:rsidRPr="00970A1B">
        <w:rPr>
          <w:rFonts w:asciiTheme="minorHAnsi" w:hAnsiTheme="minorHAnsi" w:cstheme="minorHAnsi"/>
          <w:sz w:val="22"/>
          <w:szCs w:val="22"/>
        </w:rPr>
        <w:t xml:space="preserve">osobní náklady </w:t>
      </w:r>
    </w:p>
    <w:p w14:paraId="287AF9B1" w14:textId="77777777" w:rsidR="00115926" w:rsidRDefault="00BB35D3" w:rsidP="00115926">
      <w:pPr>
        <w:pStyle w:val="Default"/>
        <w:numPr>
          <w:ilvl w:val="0"/>
          <w:numId w:val="38"/>
        </w:numPr>
        <w:rPr>
          <w:rFonts w:asciiTheme="minorHAnsi" w:hAnsiTheme="minorHAnsi" w:cstheme="minorHAnsi"/>
          <w:sz w:val="22"/>
          <w:szCs w:val="22"/>
        </w:rPr>
      </w:pPr>
      <w:r w:rsidRPr="00115926">
        <w:rPr>
          <w:rFonts w:asciiTheme="minorHAnsi" w:hAnsiTheme="minorHAnsi" w:cstheme="minorHAnsi"/>
          <w:sz w:val="22"/>
          <w:szCs w:val="22"/>
        </w:rPr>
        <w:t>stipendia (</w:t>
      </w:r>
      <w:r w:rsidRPr="00115926">
        <w:rPr>
          <w:rFonts w:asciiTheme="minorHAnsi" w:hAnsiTheme="minorHAnsi" w:cstheme="minorHAnsi"/>
          <w:b/>
          <w:sz w:val="22"/>
          <w:szCs w:val="22"/>
        </w:rPr>
        <w:t>na VUT není tento náklad doporučován!)</w:t>
      </w:r>
      <w:r w:rsidRPr="00115926">
        <w:rPr>
          <w:rFonts w:asciiTheme="minorHAnsi" w:hAnsiTheme="minorHAnsi" w:cstheme="minorHAnsi"/>
          <w:sz w:val="22"/>
          <w:szCs w:val="22"/>
        </w:rPr>
        <w:t xml:space="preserve">; </w:t>
      </w:r>
    </w:p>
    <w:p w14:paraId="10C9C2DC" w14:textId="77777777" w:rsidR="00115926" w:rsidRDefault="00BB35D3" w:rsidP="00115926">
      <w:pPr>
        <w:pStyle w:val="Default"/>
        <w:numPr>
          <w:ilvl w:val="0"/>
          <w:numId w:val="38"/>
        </w:numPr>
        <w:rPr>
          <w:rFonts w:asciiTheme="minorHAnsi" w:hAnsiTheme="minorHAnsi" w:cstheme="minorHAnsi"/>
          <w:sz w:val="22"/>
          <w:szCs w:val="22"/>
        </w:rPr>
      </w:pPr>
      <w:r w:rsidRPr="00115926">
        <w:rPr>
          <w:rFonts w:asciiTheme="minorHAnsi" w:hAnsiTheme="minorHAnsi" w:cstheme="minorHAnsi"/>
          <w:sz w:val="22"/>
          <w:szCs w:val="22"/>
        </w:rPr>
        <w:t xml:space="preserve">náklady na subdodávky; </w:t>
      </w:r>
    </w:p>
    <w:p w14:paraId="2745374F" w14:textId="77777777" w:rsidR="00115926" w:rsidRDefault="00BB35D3" w:rsidP="00115926">
      <w:pPr>
        <w:pStyle w:val="Default"/>
        <w:numPr>
          <w:ilvl w:val="0"/>
          <w:numId w:val="38"/>
        </w:numPr>
        <w:rPr>
          <w:rFonts w:asciiTheme="minorHAnsi" w:hAnsiTheme="minorHAnsi" w:cstheme="minorHAnsi"/>
          <w:sz w:val="22"/>
          <w:szCs w:val="22"/>
        </w:rPr>
      </w:pPr>
      <w:r w:rsidRPr="00115926">
        <w:rPr>
          <w:rFonts w:asciiTheme="minorHAnsi" w:hAnsiTheme="minorHAnsi" w:cstheme="minorHAnsi"/>
          <w:sz w:val="22"/>
          <w:szCs w:val="22"/>
        </w:rPr>
        <w:t xml:space="preserve">ostatní přímé náklady; </w:t>
      </w:r>
    </w:p>
    <w:p w14:paraId="25678CD2" w14:textId="77777777" w:rsidR="00BB35D3" w:rsidRPr="00115926" w:rsidRDefault="00BB35D3" w:rsidP="00115926">
      <w:pPr>
        <w:pStyle w:val="Default"/>
        <w:numPr>
          <w:ilvl w:val="0"/>
          <w:numId w:val="38"/>
        </w:numPr>
        <w:rPr>
          <w:rFonts w:asciiTheme="minorHAnsi" w:hAnsiTheme="minorHAnsi" w:cstheme="minorHAnsi"/>
          <w:sz w:val="22"/>
          <w:szCs w:val="22"/>
        </w:rPr>
      </w:pPr>
      <w:r w:rsidRPr="00115926">
        <w:rPr>
          <w:rFonts w:asciiTheme="minorHAnsi" w:hAnsiTheme="minorHAnsi" w:cstheme="minorHAnsi"/>
          <w:b/>
          <w:color w:val="auto"/>
          <w:sz w:val="22"/>
          <w:szCs w:val="22"/>
        </w:rPr>
        <w:t xml:space="preserve">nepřímé náklady full </w:t>
      </w:r>
      <w:proofErr w:type="spellStart"/>
      <w:r w:rsidRPr="00115926">
        <w:rPr>
          <w:rFonts w:asciiTheme="minorHAnsi" w:hAnsiTheme="minorHAnsi" w:cstheme="minorHAnsi"/>
          <w:b/>
          <w:color w:val="auto"/>
          <w:sz w:val="22"/>
          <w:szCs w:val="22"/>
        </w:rPr>
        <w:t>cost</w:t>
      </w:r>
      <w:proofErr w:type="spellEnd"/>
      <w:r w:rsidRPr="00115926">
        <w:rPr>
          <w:rFonts w:asciiTheme="minorHAnsi" w:hAnsiTheme="minorHAnsi" w:cstheme="minorHAnsi"/>
          <w:b/>
          <w:color w:val="auto"/>
          <w:sz w:val="22"/>
          <w:szCs w:val="22"/>
        </w:rPr>
        <w:t xml:space="preserve"> nebo </w:t>
      </w:r>
      <w:proofErr w:type="spellStart"/>
      <w:r w:rsidRPr="00115926">
        <w:rPr>
          <w:rFonts w:asciiTheme="minorHAnsi" w:hAnsiTheme="minorHAnsi" w:cstheme="minorHAnsi"/>
          <w:b/>
          <w:color w:val="auto"/>
          <w:sz w:val="22"/>
          <w:szCs w:val="22"/>
        </w:rPr>
        <w:t>flat</w:t>
      </w:r>
      <w:proofErr w:type="spellEnd"/>
      <w:r w:rsidRPr="00115926">
        <w:rPr>
          <w:rFonts w:asciiTheme="minorHAnsi" w:hAnsiTheme="minorHAnsi" w:cstheme="minorHAnsi"/>
          <w:b/>
          <w:color w:val="auto"/>
          <w:sz w:val="22"/>
          <w:szCs w:val="22"/>
        </w:rPr>
        <w:t xml:space="preserve"> </w:t>
      </w:r>
      <w:proofErr w:type="spellStart"/>
      <w:r w:rsidRPr="00115926">
        <w:rPr>
          <w:rFonts w:asciiTheme="minorHAnsi" w:hAnsiTheme="minorHAnsi" w:cstheme="minorHAnsi"/>
          <w:b/>
          <w:color w:val="auto"/>
          <w:sz w:val="22"/>
          <w:szCs w:val="22"/>
        </w:rPr>
        <w:t>rate</w:t>
      </w:r>
      <w:proofErr w:type="spellEnd"/>
      <w:r w:rsidRPr="00115926">
        <w:rPr>
          <w:rFonts w:asciiTheme="minorHAnsi" w:hAnsiTheme="minorHAnsi" w:cstheme="minorHAnsi"/>
          <w:b/>
          <w:color w:val="auto"/>
          <w:sz w:val="22"/>
          <w:szCs w:val="22"/>
        </w:rPr>
        <w:t xml:space="preserve"> do výše 25%  </w:t>
      </w:r>
    </w:p>
    <w:p w14:paraId="109213D5" w14:textId="77777777" w:rsidR="00BB35D3" w:rsidRPr="00970A1B" w:rsidRDefault="00BB35D3" w:rsidP="003D4328">
      <w:pPr>
        <w:pStyle w:val="Default"/>
        <w:rPr>
          <w:rFonts w:asciiTheme="minorHAnsi" w:hAnsiTheme="minorHAnsi" w:cstheme="minorHAnsi"/>
          <w:color w:val="FF0000"/>
          <w:sz w:val="22"/>
          <w:szCs w:val="22"/>
        </w:rPr>
      </w:pPr>
    </w:p>
    <w:p w14:paraId="4F0F870E" w14:textId="77777777" w:rsidR="003D4328" w:rsidRPr="004D1883" w:rsidRDefault="003D4328" w:rsidP="003D4328">
      <w:pPr>
        <w:spacing w:after="0" w:line="240" w:lineRule="auto"/>
      </w:pPr>
      <w:r w:rsidRPr="004D1883">
        <w:t>V této veřejné soutěži je stanovena specifická alokace pro strukturálně postižené regiony (</w:t>
      </w:r>
      <w:proofErr w:type="gramStart"/>
      <w:r w:rsidRPr="004D1883">
        <w:t>RE:START</w:t>
      </w:r>
      <w:proofErr w:type="gramEnd"/>
      <w:r w:rsidRPr="004D1883">
        <w:t xml:space="preserve">) v celkové výši 18,4 mil. Kč. </w:t>
      </w:r>
      <w:r w:rsidRPr="004D1883">
        <w:rPr>
          <w:b/>
        </w:rPr>
        <w:t>Z této alokace je 9,2 mil. Kč určeno pro Ústecký a Karlovarský kraj</w:t>
      </w:r>
      <w:r w:rsidR="00115926" w:rsidRPr="004D1883">
        <w:rPr>
          <w:b/>
        </w:rPr>
        <w:t xml:space="preserve"> </w:t>
      </w:r>
      <w:r w:rsidRPr="004D1883">
        <w:rPr>
          <w:b/>
        </w:rPr>
        <w:t>a 9,2 mil. Kč pro</w:t>
      </w:r>
      <w:r w:rsidR="00115926" w:rsidRPr="004D1883">
        <w:rPr>
          <w:b/>
        </w:rPr>
        <w:t xml:space="preserve"> </w:t>
      </w:r>
      <w:r w:rsidRPr="004D1883">
        <w:rPr>
          <w:b/>
        </w:rPr>
        <w:t>Moravskoslezský kraj</w:t>
      </w:r>
      <w:r w:rsidR="00115926" w:rsidRPr="004D1883">
        <w:rPr>
          <w:b/>
        </w:rPr>
        <w:t xml:space="preserve">. </w:t>
      </w:r>
      <w:r w:rsidRPr="004D1883">
        <w:rPr>
          <w:b/>
        </w:rPr>
        <w:t xml:space="preserve">Z této alokace budou podpořeny ty návrhy projektů, ve kterých bude mít hlavní uchazeč sídlo v jednom ze tří výše uvedených krajů a které budou doporučeny k podpoře. </w:t>
      </w:r>
      <w:r w:rsidRPr="004D1883">
        <w:t xml:space="preserve">V případě, že příslušnou alokaci nevyčerpají projekty z jednoho regionu, budou prostředky využity přednostně v druhém regionu. Pokud ani v obou regionech nebude dostatek kvalitních projektů, budou prostředky využity pro podporu ostatních projektů. </w:t>
      </w:r>
    </w:p>
    <w:p w14:paraId="21BCF22A" w14:textId="77777777" w:rsidR="003D4328" w:rsidRPr="004D1883" w:rsidRDefault="003D4328" w:rsidP="003D4328">
      <w:pPr>
        <w:spacing w:after="0" w:line="240" w:lineRule="auto"/>
      </w:pPr>
    </w:p>
    <w:p w14:paraId="68A2F312" w14:textId="77777777" w:rsidR="00970A1B" w:rsidRDefault="003D4328" w:rsidP="003D4328">
      <w:pPr>
        <w:spacing w:after="0" w:line="240" w:lineRule="auto"/>
      </w:pPr>
      <w:r w:rsidRPr="004D1883">
        <w:t xml:space="preserve">Dále je v této veřejné soutěži stanovena specifická alokace pro návrhy projektů, které se přihlásí k jednomu ze 3 strategických cílů (Dekarbonizace, Decentralizace, </w:t>
      </w:r>
      <w:proofErr w:type="spellStart"/>
      <w:r w:rsidRPr="004D1883">
        <w:t>Cirkularita</w:t>
      </w:r>
      <w:proofErr w:type="spellEnd"/>
      <w:r w:rsidRPr="004D1883">
        <w:t xml:space="preserve">) RIS3 Mise Zefektivnění materiálové, energetické a emisní náročnosti ekonomiky v celkové výši 30 mil. Kč, která je součástí Národní RIS3 strategie. </w:t>
      </w:r>
      <w:r w:rsidRPr="004D1883">
        <w:rPr>
          <w:b/>
        </w:rPr>
        <w:t xml:space="preserve">Z této alokace budou podpořeny ty návrhy projektů, které zvolí a budou naplňovat jeden ze tří strategických cílů (Dekarbonizace, Decentralizace, </w:t>
      </w:r>
      <w:proofErr w:type="spellStart"/>
      <w:r w:rsidRPr="004D1883">
        <w:rPr>
          <w:b/>
        </w:rPr>
        <w:t>Cirkularita</w:t>
      </w:r>
      <w:proofErr w:type="spellEnd"/>
      <w:r w:rsidRPr="004D1883">
        <w:rPr>
          <w:b/>
        </w:rPr>
        <w:t>) a které budou doporučeny k podpoře.</w:t>
      </w:r>
      <w:r w:rsidRPr="004D1883">
        <w:t xml:space="preserve"> V případě, že příslušnou alokaci projekty splňující podmínku nevyčerpají, budou prostředky využity pro podporu ostatních projektů</w:t>
      </w:r>
      <w:r>
        <w:t>.</w:t>
      </w:r>
    </w:p>
    <w:p w14:paraId="4E53F41F" w14:textId="77777777" w:rsidR="003D4328" w:rsidRPr="00970A1B" w:rsidRDefault="003D4328" w:rsidP="003D4328">
      <w:pPr>
        <w:spacing w:after="0" w:line="240" w:lineRule="auto"/>
        <w:rPr>
          <w:b/>
          <w:color w:val="1F4E79" w:themeColor="accent1" w:themeShade="80"/>
          <w:sz w:val="28"/>
          <w:szCs w:val="28"/>
          <w:highlight w:val="yellow"/>
        </w:rPr>
      </w:pPr>
    </w:p>
    <w:p w14:paraId="05C92966" w14:textId="77777777" w:rsidR="00A863FE" w:rsidRPr="00DA0DE1" w:rsidRDefault="00F7228A" w:rsidP="003D4328">
      <w:pPr>
        <w:spacing w:after="0" w:line="240" w:lineRule="auto"/>
        <w:rPr>
          <w:b/>
          <w:color w:val="1F4E79" w:themeColor="accent1" w:themeShade="80"/>
          <w:sz w:val="28"/>
          <w:szCs w:val="28"/>
        </w:rPr>
      </w:pPr>
      <w:r w:rsidRPr="00DA0DE1">
        <w:rPr>
          <w:b/>
          <w:color w:val="1F4E79" w:themeColor="accent1" w:themeShade="80"/>
          <w:sz w:val="28"/>
          <w:szCs w:val="28"/>
        </w:rPr>
        <w:t xml:space="preserve">Vymezení se vůči vlastním obdobným projektům: </w:t>
      </w:r>
    </w:p>
    <w:p w14:paraId="1145E342" w14:textId="77777777" w:rsidR="00DA0DE1" w:rsidRPr="00DA0DE1" w:rsidRDefault="00DA0DE1" w:rsidP="003D4328">
      <w:pPr>
        <w:spacing w:after="0" w:line="240" w:lineRule="auto"/>
      </w:pPr>
      <w:r w:rsidRPr="00DA0DE1">
        <w:t>Technologická agentura České republiky podporuje pouze návrhy projektů, jejichž obsah nebo jejich část dosud nebyly a v současnosti nejsou řešeny v rámci jiného vlastního projektu</w:t>
      </w:r>
      <w:r>
        <w:t xml:space="preserve">. </w:t>
      </w:r>
      <w:r w:rsidRPr="00DA0DE1">
        <w:t xml:space="preserve">Uchazeči (zejména v případě shody klíčové osoby v řešitelském týmu a v případě podobného zaměření návrhu projektu) jsou povinni uvést vlastní: </w:t>
      </w:r>
    </w:p>
    <w:p w14:paraId="412C0D1B" w14:textId="77777777" w:rsidR="00115926" w:rsidRDefault="00DA0DE1" w:rsidP="004D1883">
      <w:pPr>
        <w:pStyle w:val="Odstavecseseznamem"/>
        <w:numPr>
          <w:ilvl w:val="0"/>
          <w:numId w:val="39"/>
        </w:numPr>
        <w:spacing w:after="0" w:line="240" w:lineRule="auto"/>
        <w:ind w:left="357" w:hanging="357"/>
        <w:rPr>
          <w:b/>
          <w:color w:val="1F4E79" w:themeColor="accent1" w:themeShade="80"/>
          <w:sz w:val="28"/>
          <w:szCs w:val="28"/>
        </w:rPr>
      </w:pPr>
      <w:r w:rsidRPr="00DA0DE1">
        <w:t xml:space="preserve">ukončené projekty, pokud plánované výstupy/výsledky návrhu projektu na ně navazují, a tuto návaznost popsat; </w:t>
      </w:r>
    </w:p>
    <w:p w14:paraId="51FF8C24" w14:textId="77777777" w:rsidR="00115926" w:rsidRDefault="00DA0DE1" w:rsidP="004D1883">
      <w:pPr>
        <w:pStyle w:val="Odstavecseseznamem"/>
        <w:numPr>
          <w:ilvl w:val="0"/>
          <w:numId w:val="39"/>
        </w:numPr>
        <w:spacing w:after="0" w:line="240" w:lineRule="auto"/>
        <w:ind w:left="357" w:hanging="357"/>
        <w:rPr>
          <w:b/>
          <w:color w:val="1F4E79" w:themeColor="accent1" w:themeShade="80"/>
          <w:sz w:val="28"/>
          <w:szCs w:val="28"/>
        </w:rPr>
      </w:pPr>
      <w:r w:rsidRPr="00DA0DE1">
        <w:t xml:space="preserve">aktuálně řešené související projekty a popsat odlišnosti mezi těmito projekty s návrhem projektu podávaným do této veřejné soutěže; </w:t>
      </w:r>
    </w:p>
    <w:p w14:paraId="53B017EB" w14:textId="77777777" w:rsidR="00115926" w:rsidRDefault="00DA0DE1" w:rsidP="004D1883">
      <w:pPr>
        <w:pStyle w:val="Odstavecseseznamem"/>
        <w:numPr>
          <w:ilvl w:val="0"/>
          <w:numId w:val="39"/>
        </w:numPr>
        <w:spacing w:after="0" w:line="240" w:lineRule="auto"/>
        <w:ind w:left="357" w:hanging="357"/>
        <w:rPr>
          <w:b/>
          <w:color w:val="1F4E79" w:themeColor="accent1" w:themeShade="80"/>
          <w:sz w:val="28"/>
          <w:szCs w:val="28"/>
        </w:rPr>
      </w:pPr>
      <w:r w:rsidRPr="00DA0DE1">
        <w:t xml:space="preserve">návrhy projektů souběžně podávané do této či jiných veřejných soutěží, kdy by při současném podpoření nedocházelo </w:t>
      </w:r>
      <w:proofErr w:type="gramStart"/>
      <w:r w:rsidRPr="00DA0DE1">
        <w:t>k</w:t>
      </w:r>
      <w:proofErr w:type="gramEnd"/>
      <w:r w:rsidRPr="00DA0DE1">
        <w:t xml:space="preserve"> dvojímu financování. V tomto případě je nutné popsat odlišnosti mezi těmito projekty; </w:t>
      </w:r>
    </w:p>
    <w:p w14:paraId="25928038" w14:textId="77777777" w:rsidR="00DA0DE1" w:rsidRPr="00115926" w:rsidRDefault="00DA0DE1" w:rsidP="004D1883">
      <w:pPr>
        <w:pStyle w:val="Odstavecseseznamem"/>
        <w:numPr>
          <w:ilvl w:val="0"/>
          <w:numId w:val="39"/>
        </w:numPr>
        <w:spacing w:after="0" w:line="240" w:lineRule="auto"/>
        <w:ind w:left="357" w:hanging="357"/>
        <w:rPr>
          <w:b/>
          <w:color w:val="1F4E79" w:themeColor="accent1" w:themeShade="80"/>
          <w:sz w:val="28"/>
          <w:szCs w:val="28"/>
        </w:rPr>
      </w:pPr>
      <w:r w:rsidRPr="00DA0DE1">
        <w:t xml:space="preserve">návrhy projektů souběžně podávané do této či jiných veřejných soutěží, kdy by při současném podpoření docházelo </w:t>
      </w:r>
      <w:proofErr w:type="gramStart"/>
      <w:r w:rsidRPr="00DA0DE1">
        <w:t>k</w:t>
      </w:r>
      <w:proofErr w:type="gramEnd"/>
      <w:r w:rsidRPr="00DA0DE1">
        <w:t xml:space="preserve"> dvojímu financování. V tomto případě je nutné uvést, že bude uzavřena pouze jedna smlouva o poskytnutí podpory a tento závazek dodržet. </w:t>
      </w:r>
    </w:p>
    <w:p w14:paraId="004DA2C3" w14:textId="77777777" w:rsidR="00DA0DE1" w:rsidRDefault="00DA0DE1" w:rsidP="003D4328">
      <w:pPr>
        <w:spacing w:after="0" w:line="240" w:lineRule="auto"/>
        <w:rPr>
          <w:b/>
          <w:color w:val="1F4E79" w:themeColor="accent1" w:themeShade="80"/>
          <w:sz w:val="28"/>
          <w:szCs w:val="28"/>
        </w:rPr>
      </w:pPr>
    </w:p>
    <w:p w14:paraId="3D69D214" w14:textId="77777777" w:rsidR="004D1883" w:rsidRDefault="004D1883" w:rsidP="003D4328">
      <w:pPr>
        <w:spacing w:after="0" w:line="240" w:lineRule="auto"/>
        <w:rPr>
          <w:b/>
          <w:color w:val="1F4E79" w:themeColor="accent1" w:themeShade="80"/>
          <w:sz w:val="28"/>
          <w:szCs w:val="28"/>
        </w:rPr>
      </w:pPr>
    </w:p>
    <w:p w14:paraId="1FAD2ECC" w14:textId="77777777" w:rsidR="004D1883" w:rsidRDefault="004D1883" w:rsidP="003D4328">
      <w:pPr>
        <w:spacing w:after="0" w:line="240" w:lineRule="auto"/>
        <w:rPr>
          <w:b/>
          <w:color w:val="1F4E79" w:themeColor="accent1" w:themeShade="80"/>
          <w:sz w:val="28"/>
          <w:szCs w:val="28"/>
        </w:rPr>
      </w:pPr>
    </w:p>
    <w:p w14:paraId="51E90EB1" w14:textId="77777777" w:rsidR="004D1883" w:rsidRPr="003D4328" w:rsidRDefault="004D1883" w:rsidP="003D4328">
      <w:pPr>
        <w:spacing w:after="0" w:line="240" w:lineRule="auto"/>
        <w:rPr>
          <w:b/>
          <w:color w:val="1F4E79" w:themeColor="accent1" w:themeShade="80"/>
          <w:sz w:val="28"/>
          <w:szCs w:val="28"/>
        </w:rPr>
      </w:pPr>
    </w:p>
    <w:p w14:paraId="74E57A2F" w14:textId="77777777" w:rsidR="00A863FE" w:rsidRPr="003D4328" w:rsidRDefault="009754C2" w:rsidP="003D4328">
      <w:pPr>
        <w:spacing w:after="0" w:line="240" w:lineRule="auto"/>
        <w:rPr>
          <w:b/>
          <w:color w:val="1F4E79" w:themeColor="accent1" w:themeShade="80"/>
          <w:sz w:val="28"/>
          <w:szCs w:val="28"/>
        </w:rPr>
      </w:pPr>
      <w:r w:rsidRPr="003D4328">
        <w:rPr>
          <w:b/>
          <w:color w:val="1F4E79" w:themeColor="accent1" w:themeShade="80"/>
          <w:sz w:val="28"/>
          <w:szCs w:val="28"/>
        </w:rPr>
        <w:lastRenderedPageBreak/>
        <w:t>Návrh projektu:</w:t>
      </w:r>
    </w:p>
    <w:p w14:paraId="228D4DC5" w14:textId="77777777" w:rsidR="00A863FE" w:rsidRPr="003D4328" w:rsidRDefault="009754C2" w:rsidP="003D4328">
      <w:pPr>
        <w:spacing w:after="0" w:line="240" w:lineRule="auto"/>
      </w:pPr>
      <w:r w:rsidRPr="003D4328">
        <w:rPr>
          <w:b/>
        </w:rPr>
        <w:t xml:space="preserve">Webový portál ISTA </w:t>
      </w:r>
      <w:hyperlink r:id="rId12" w:history="1">
        <w:r w:rsidRPr="003D4328">
          <w:rPr>
            <w:rStyle w:val="Hypertextovodkaz"/>
          </w:rPr>
          <w:t>https://ista.tacr.cz/ISTA/action/Dashboard/ExternalNew/?actionId=6798826730857997&amp;ts=1651134055512&amp;hash=/PRnciOWYPGy0ZuRTsNaKYXfoMOiF9jN8xXBwm4AbZU=&amp;nbl=true&amp;uselastresult=true&amp;_browserSessionID=&amp;lang</w:t>
        </w:r>
      </w:hyperlink>
      <w:r w:rsidRPr="003D4328">
        <w:t>=</w:t>
      </w:r>
      <w:r w:rsidR="00A863FE" w:rsidRPr="003D4328">
        <w:t xml:space="preserve"> </w:t>
      </w:r>
      <w:r w:rsidRPr="003D4328">
        <w:t xml:space="preserve"> </w:t>
      </w:r>
    </w:p>
    <w:p w14:paraId="21ED393D" w14:textId="77777777" w:rsidR="00A863FE" w:rsidRPr="00115926" w:rsidRDefault="00A863FE" w:rsidP="003D4328">
      <w:pPr>
        <w:spacing w:after="0" w:line="240" w:lineRule="auto"/>
        <w:rPr>
          <w:b/>
          <w:sz w:val="28"/>
          <w:highlight w:val="yellow"/>
        </w:rPr>
      </w:pPr>
    </w:p>
    <w:p w14:paraId="24B99541" w14:textId="77777777" w:rsidR="00A863FE" w:rsidRPr="004D1883" w:rsidRDefault="00BB35D3" w:rsidP="003D4328">
      <w:pPr>
        <w:spacing w:after="0" w:line="240" w:lineRule="auto"/>
        <w:rPr>
          <w:b/>
          <w:color w:val="1F4E79" w:themeColor="accent1" w:themeShade="80"/>
          <w:sz w:val="28"/>
          <w:szCs w:val="28"/>
        </w:rPr>
      </w:pPr>
      <w:r w:rsidRPr="00DA0DE1">
        <w:rPr>
          <w:b/>
          <w:color w:val="1F4E79" w:themeColor="accent1" w:themeShade="80"/>
          <w:sz w:val="28"/>
          <w:szCs w:val="28"/>
        </w:rPr>
        <w:t>Výstupy/výsledky:</w:t>
      </w:r>
    </w:p>
    <w:p w14:paraId="7E9FAC03" w14:textId="77777777" w:rsidR="00DA0DE1" w:rsidRDefault="00DA0DE1" w:rsidP="003D4328">
      <w:pPr>
        <w:spacing w:after="0" w:line="240" w:lineRule="auto"/>
        <w:jc w:val="both"/>
      </w:pPr>
      <w:r>
        <w:t xml:space="preserve">Uchazeči v návrhu projektu popíší předpokládané uplatnění, účel a přínosy plánovaných výstupů/výsledků. Uplatnění výstupů/výsledků v praxi zajistí podnik, který je jedním z uchazečů, popř. jiný relevantní subjekt, který zájem o využití výstupů a výsledků vyjádří např. formou </w:t>
      </w:r>
      <w:proofErr w:type="spellStart"/>
      <w:r>
        <w:t>Letter</w:t>
      </w:r>
      <w:proofErr w:type="spellEnd"/>
      <w:r>
        <w:t xml:space="preserve"> </w:t>
      </w:r>
      <w:proofErr w:type="spellStart"/>
      <w:r>
        <w:t>of</w:t>
      </w:r>
      <w:proofErr w:type="spellEnd"/>
      <w:r>
        <w:t xml:space="preserve"> </w:t>
      </w:r>
      <w:proofErr w:type="spellStart"/>
      <w:r>
        <w:t>Intent</w:t>
      </w:r>
      <w:proofErr w:type="spellEnd"/>
      <w:r>
        <w:t xml:space="preserve">, memorandem o spolupráci apod. </w:t>
      </w:r>
    </w:p>
    <w:p w14:paraId="4E96E148" w14:textId="77777777" w:rsidR="00DA0DE1" w:rsidRDefault="00DA0DE1" w:rsidP="003D4328">
      <w:pPr>
        <w:spacing w:after="0" w:line="240" w:lineRule="auto"/>
        <w:jc w:val="both"/>
      </w:pPr>
    </w:p>
    <w:p w14:paraId="0D4D5A1B" w14:textId="77777777" w:rsidR="00DA0DE1" w:rsidRPr="00DA0DE1" w:rsidRDefault="00DA0DE1" w:rsidP="003D4328">
      <w:pPr>
        <w:spacing w:after="0" w:line="240" w:lineRule="auto"/>
        <w:jc w:val="both"/>
      </w:pPr>
      <w:r>
        <w:t>V této veřejné soutěži může TA ČR podporovat pouze návrhy projektů, kde se předpokládá uplatnění výstupů/výsledků do praxe. V každém návrhu projektu musí být zvolen minimálně jeden hlavní výstup/výsledek.</w:t>
      </w:r>
      <w:r w:rsidRPr="00DA0DE1">
        <w:t xml:space="preserve"> </w:t>
      </w:r>
      <w:r w:rsidRPr="00115926">
        <w:rPr>
          <w:b/>
          <w:color w:val="FF0000"/>
        </w:rPr>
        <w:t>Všechny dosažené výstupy/výsledky musí splnit podmínky a parametry stanovené jak Metodikou 2017+, tak MET-12.</w:t>
      </w:r>
    </w:p>
    <w:p w14:paraId="6B867434" w14:textId="77777777" w:rsidR="009754C2" w:rsidRPr="00970A1B" w:rsidRDefault="009754C2" w:rsidP="003D4328">
      <w:pPr>
        <w:spacing w:after="0" w:line="240" w:lineRule="auto"/>
        <w:rPr>
          <w:i/>
          <w:highlight w:val="yellow"/>
          <w:u w:val="single"/>
        </w:rPr>
      </w:pPr>
    </w:p>
    <w:p w14:paraId="2024EA26" w14:textId="77777777" w:rsidR="00BB35D3" w:rsidRPr="00DA0DE1" w:rsidRDefault="00BB35D3" w:rsidP="003D4328">
      <w:pPr>
        <w:spacing w:after="0" w:line="240" w:lineRule="auto"/>
        <w:rPr>
          <w:i/>
          <w:u w:val="single"/>
        </w:rPr>
      </w:pPr>
      <w:r w:rsidRPr="00DA0DE1">
        <w:rPr>
          <w:i/>
          <w:u w:val="single"/>
        </w:rPr>
        <w:t>Hlavní výstupy:</w:t>
      </w:r>
    </w:p>
    <w:p w14:paraId="43378600" w14:textId="77777777" w:rsidR="00BB35D3" w:rsidRPr="00970A1B" w:rsidRDefault="00BB35D3" w:rsidP="003D4328">
      <w:pPr>
        <w:spacing w:after="0" w:line="240" w:lineRule="auto"/>
        <w:rPr>
          <w:i/>
        </w:rPr>
      </w:pPr>
      <w:proofErr w:type="spellStart"/>
      <w:r w:rsidRPr="00970A1B">
        <w:rPr>
          <w:i/>
        </w:rPr>
        <w:t>Fprum</w:t>
      </w:r>
      <w:proofErr w:type="spellEnd"/>
      <w:r w:rsidRPr="00970A1B">
        <w:rPr>
          <w:i/>
        </w:rPr>
        <w:t xml:space="preserve"> – průmyslový vzor; </w:t>
      </w:r>
    </w:p>
    <w:p w14:paraId="441C91CE" w14:textId="77777777" w:rsidR="00BB35D3" w:rsidRPr="00970A1B" w:rsidRDefault="00BB35D3" w:rsidP="003D4328">
      <w:pPr>
        <w:spacing w:after="0" w:line="240" w:lineRule="auto"/>
        <w:rPr>
          <w:i/>
        </w:rPr>
      </w:pPr>
      <w:proofErr w:type="spellStart"/>
      <w:r w:rsidRPr="00970A1B">
        <w:rPr>
          <w:i/>
        </w:rPr>
        <w:t>Fuzit</w:t>
      </w:r>
      <w:proofErr w:type="spellEnd"/>
      <w:r w:rsidRPr="00970A1B">
        <w:rPr>
          <w:i/>
        </w:rPr>
        <w:t xml:space="preserve"> – užitný vzor; </w:t>
      </w:r>
    </w:p>
    <w:p w14:paraId="17126394" w14:textId="77777777" w:rsidR="00BB35D3" w:rsidRPr="00970A1B" w:rsidRDefault="00BB35D3" w:rsidP="003D4328">
      <w:pPr>
        <w:spacing w:after="0" w:line="240" w:lineRule="auto"/>
        <w:rPr>
          <w:i/>
        </w:rPr>
      </w:pPr>
      <w:proofErr w:type="spellStart"/>
      <w:r w:rsidRPr="00970A1B">
        <w:rPr>
          <w:i/>
        </w:rPr>
        <w:t>Gprot</w:t>
      </w:r>
      <w:proofErr w:type="spellEnd"/>
      <w:r w:rsidRPr="00970A1B">
        <w:rPr>
          <w:i/>
        </w:rPr>
        <w:t xml:space="preserve"> – prototyp; </w:t>
      </w:r>
    </w:p>
    <w:p w14:paraId="3782F324" w14:textId="77777777" w:rsidR="00BB35D3" w:rsidRPr="00970A1B" w:rsidRDefault="00BB35D3" w:rsidP="003D4328">
      <w:pPr>
        <w:spacing w:after="0" w:line="240" w:lineRule="auto"/>
        <w:rPr>
          <w:i/>
        </w:rPr>
      </w:pPr>
      <w:proofErr w:type="spellStart"/>
      <w:r w:rsidRPr="00970A1B">
        <w:rPr>
          <w:i/>
        </w:rPr>
        <w:t>Gfunk</w:t>
      </w:r>
      <w:proofErr w:type="spellEnd"/>
      <w:r w:rsidRPr="00970A1B">
        <w:rPr>
          <w:i/>
        </w:rPr>
        <w:t xml:space="preserve"> – funkční vzorek;</w:t>
      </w:r>
    </w:p>
    <w:p w14:paraId="35B685C5" w14:textId="77777777" w:rsidR="00BB35D3" w:rsidRPr="00970A1B" w:rsidRDefault="00BB35D3" w:rsidP="003D4328">
      <w:pPr>
        <w:spacing w:after="0" w:line="240" w:lineRule="auto"/>
        <w:rPr>
          <w:i/>
        </w:rPr>
      </w:pPr>
      <w:proofErr w:type="spellStart"/>
      <w:r w:rsidRPr="00970A1B">
        <w:rPr>
          <w:i/>
        </w:rPr>
        <w:t>Hneleg</w:t>
      </w:r>
      <w:proofErr w:type="spellEnd"/>
      <w:r w:rsidRPr="00970A1B">
        <w:rPr>
          <w:i/>
        </w:rPr>
        <w:t xml:space="preserve"> – výsledky promítnuté do směrnic a předpisů nelegislativní povahy závazných v rámci kompetence příslušného poskytovatele; </w:t>
      </w:r>
    </w:p>
    <w:p w14:paraId="36369A4D" w14:textId="77777777" w:rsidR="00BB35D3" w:rsidRPr="00970A1B" w:rsidRDefault="00BB35D3" w:rsidP="003D4328">
      <w:pPr>
        <w:spacing w:after="0" w:line="240" w:lineRule="auto"/>
        <w:rPr>
          <w:i/>
        </w:rPr>
      </w:pPr>
      <w:proofErr w:type="spellStart"/>
      <w:r w:rsidRPr="00970A1B">
        <w:rPr>
          <w:i/>
        </w:rPr>
        <w:t>Nmap</w:t>
      </w:r>
      <w:proofErr w:type="spellEnd"/>
      <w:r w:rsidRPr="00970A1B">
        <w:rPr>
          <w:i/>
        </w:rPr>
        <w:t xml:space="preserve">* – specializovaná mapa s odborným obsahem; </w:t>
      </w:r>
    </w:p>
    <w:p w14:paraId="67CA5D9A" w14:textId="77777777" w:rsidR="00BB35D3" w:rsidRPr="00970A1B" w:rsidRDefault="00BB35D3" w:rsidP="003D4328">
      <w:pPr>
        <w:spacing w:after="0" w:line="240" w:lineRule="auto"/>
        <w:rPr>
          <w:i/>
        </w:rPr>
      </w:pPr>
      <w:proofErr w:type="spellStart"/>
      <w:r w:rsidRPr="00970A1B">
        <w:rPr>
          <w:i/>
        </w:rPr>
        <w:t>Npam</w:t>
      </w:r>
      <w:proofErr w:type="spellEnd"/>
      <w:r w:rsidRPr="00970A1B">
        <w:rPr>
          <w:i/>
        </w:rPr>
        <w:t xml:space="preserve">* - památkový postup; </w:t>
      </w:r>
    </w:p>
    <w:p w14:paraId="5975D0C9" w14:textId="77777777" w:rsidR="00BB35D3" w:rsidRPr="00970A1B" w:rsidRDefault="00BB35D3" w:rsidP="003D4328">
      <w:pPr>
        <w:spacing w:after="0" w:line="240" w:lineRule="auto"/>
        <w:rPr>
          <w:i/>
        </w:rPr>
      </w:pPr>
      <w:proofErr w:type="spellStart"/>
      <w:r w:rsidRPr="00970A1B">
        <w:rPr>
          <w:i/>
        </w:rPr>
        <w:t>NmetC</w:t>
      </w:r>
      <w:proofErr w:type="spellEnd"/>
      <w:r w:rsidRPr="00970A1B">
        <w:rPr>
          <w:i/>
        </w:rPr>
        <w:t xml:space="preserve">* – metodika certifikovaná oprávněným orgánem – povinnou přílohou je Formulář pro druh výsledku </w:t>
      </w:r>
      <w:proofErr w:type="spellStart"/>
      <w:r w:rsidRPr="00970A1B">
        <w:rPr>
          <w:i/>
        </w:rPr>
        <w:t>Nmet</w:t>
      </w:r>
      <w:proofErr w:type="spellEnd"/>
      <w:r w:rsidRPr="00970A1B">
        <w:rPr>
          <w:i/>
        </w:rPr>
        <w:t xml:space="preserve">; </w:t>
      </w:r>
    </w:p>
    <w:p w14:paraId="17D781D1" w14:textId="77777777" w:rsidR="00BB35D3" w:rsidRPr="00970A1B" w:rsidRDefault="00BB35D3" w:rsidP="003D4328">
      <w:pPr>
        <w:spacing w:after="0" w:line="240" w:lineRule="auto"/>
        <w:rPr>
          <w:i/>
        </w:rPr>
      </w:pPr>
      <w:proofErr w:type="spellStart"/>
      <w:r w:rsidRPr="00970A1B">
        <w:rPr>
          <w:i/>
        </w:rPr>
        <w:t>NmetA</w:t>
      </w:r>
      <w:proofErr w:type="spellEnd"/>
      <w:r w:rsidRPr="00970A1B">
        <w:rPr>
          <w:i/>
        </w:rPr>
        <w:t xml:space="preserve">* – metodika a postup akreditované oprávněným orgánem – povinnou přílohou je Formulář pro druh výsledku </w:t>
      </w:r>
      <w:proofErr w:type="spellStart"/>
      <w:r w:rsidRPr="00970A1B">
        <w:rPr>
          <w:i/>
        </w:rPr>
        <w:t>Nmet</w:t>
      </w:r>
      <w:proofErr w:type="spellEnd"/>
      <w:r w:rsidRPr="00970A1B">
        <w:rPr>
          <w:i/>
        </w:rPr>
        <w:t xml:space="preserve">; </w:t>
      </w:r>
    </w:p>
    <w:p w14:paraId="419BFDC0" w14:textId="77777777" w:rsidR="004D1883" w:rsidRDefault="00BB35D3" w:rsidP="003D4328">
      <w:pPr>
        <w:spacing w:after="0" w:line="240" w:lineRule="auto"/>
        <w:rPr>
          <w:i/>
        </w:rPr>
      </w:pPr>
      <w:proofErr w:type="spellStart"/>
      <w:r w:rsidRPr="00970A1B">
        <w:rPr>
          <w:i/>
        </w:rPr>
        <w:t>NmetS</w:t>
      </w:r>
      <w:proofErr w:type="spellEnd"/>
      <w:r w:rsidRPr="00970A1B">
        <w:rPr>
          <w:i/>
        </w:rPr>
        <w:t xml:space="preserve">* – metodika schválená příslušným orgánem státní správy, do jehož kompetence daná problematika spadá – povinnou přílohou je Formulář pro druh výsledku </w:t>
      </w:r>
      <w:proofErr w:type="spellStart"/>
      <w:r w:rsidRPr="00970A1B">
        <w:rPr>
          <w:i/>
        </w:rPr>
        <w:t>Nmet</w:t>
      </w:r>
      <w:proofErr w:type="spellEnd"/>
      <w:r w:rsidRPr="00970A1B">
        <w:rPr>
          <w:i/>
        </w:rPr>
        <w:t xml:space="preserve">; </w:t>
      </w:r>
    </w:p>
    <w:p w14:paraId="18628BE3" w14:textId="77777777" w:rsidR="00BB35D3" w:rsidRPr="00970A1B" w:rsidRDefault="00BB35D3" w:rsidP="003D4328">
      <w:pPr>
        <w:spacing w:after="0" w:line="240" w:lineRule="auto"/>
        <w:rPr>
          <w:i/>
        </w:rPr>
      </w:pPr>
      <w:r w:rsidRPr="00970A1B">
        <w:rPr>
          <w:i/>
        </w:rPr>
        <w:t xml:space="preserve">P – patent – povinnou přílohou je patentová rešerše; </w:t>
      </w:r>
    </w:p>
    <w:p w14:paraId="179D54D7" w14:textId="77777777" w:rsidR="00BB35D3" w:rsidRPr="00970A1B" w:rsidRDefault="00BB35D3" w:rsidP="003D4328">
      <w:pPr>
        <w:spacing w:after="0" w:line="240" w:lineRule="auto"/>
        <w:rPr>
          <w:i/>
        </w:rPr>
      </w:pPr>
      <w:r w:rsidRPr="00970A1B">
        <w:rPr>
          <w:i/>
        </w:rPr>
        <w:t xml:space="preserve">R – software; </w:t>
      </w:r>
    </w:p>
    <w:p w14:paraId="09CC79A0" w14:textId="77777777" w:rsidR="00BB35D3" w:rsidRPr="00970A1B" w:rsidRDefault="00BB35D3" w:rsidP="003D4328">
      <w:pPr>
        <w:spacing w:after="0" w:line="240" w:lineRule="auto"/>
        <w:rPr>
          <w:i/>
        </w:rPr>
      </w:pPr>
      <w:proofErr w:type="spellStart"/>
      <w:r w:rsidRPr="00970A1B">
        <w:rPr>
          <w:i/>
        </w:rPr>
        <w:t>Zpolop</w:t>
      </w:r>
      <w:proofErr w:type="spellEnd"/>
      <w:r w:rsidRPr="00970A1B">
        <w:rPr>
          <w:i/>
        </w:rPr>
        <w:t xml:space="preserve"> – poloprovoz; </w:t>
      </w:r>
    </w:p>
    <w:p w14:paraId="0462A77A" w14:textId="77777777" w:rsidR="00BB35D3" w:rsidRPr="00970A1B" w:rsidRDefault="00BB35D3" w:rsidP="003D4328">
      <w:pPr>
        <w:spacing w:after="0" w:line="240" w:lineRule="auto"/>
        <w:rPr>
          <w:i/>
        </w:rPr>
      </w:pPr>
      <w:proofErr w:type="spellStart"/>
      <w:r w:rsidRPr="00970A1B">
        <w:rPr>
          <w:i/>
        </w:rPr>
        <w:t>Ztech</w:t>
      </w:r>
      <w:proofErr w:type="spellEnd"/>
      <w:r w:rsidRPr="00970A1B">
        <w:rPr>
          <w:i/>
        </w:rPr>
        <w:t xml:space="preserve"> – ověřená technologie. </w:t>
      </w:r>
    </w:p>
    <w:p w14:paraId="57BF9736" w14:textId="77777777" w:rsidR="00BB35D3" w:rsidRDefault="00BB35D3" w:rsidP="003D4328">
      <w:pPr>
        <w:spacing w:after="0" w:line="240" w:lineRule="auto"/>
        <w:rPr>
          <w:i/>
        </w:rPr>
      </w:pPr>
    </w:p>
    <w:p w14:paraId="6C18CCAE" w14:textId="77777777" w:rsidR="003D4328" w:rsidRPr="00970A1B" w:rsidRDefault="003D4328" w:rsidP="003D4328">
      <w:pPr>
        <w:spacing w:after="0" w:line="240" w:lineRule="auto"/>
        <w:rPr>
          <w:i/>
        </w:rPr>
      </w:pPr>
    </w:p>
    <w:p w14:paraId="0E7115CB" w14:textId="77777777" w:rsidR="00BB35D3" w:rsidRPr="00970A1B" w:rsidRDefault="00BB35D3" w:rsidP="003D4328">
      <w:pPr>
        <w:spacing w:after="0" w:line="240" w:lineRule="auto"/>
        <w:rPr>
          <w:i/>
          <w:u w:val="single"/>
        </w:rPr>
      </w:pPr>
      <w:r w:rsidRPr="00970A1B">
        <w:rPr>
          <w:i/>
          <w:u w:val="single"/>
        </w:rPr>
        <w:t xml:space="preserve">Hlavní druhy výstupů/výsledků pouze v kombinaci s některým z výše uvedených: </w:t>
      </w:r>
    </w:p>
    <w:p w14:paraId="235DB37C" w14:textId="77777777" w:rsidR="00BB35D3" w:rsidRPr="00970A1B" w:rsidRDefault="00BB35D3" w:rsidP="003D4328">
      <w:pPr>
        <w:spacing w:after="0" w:line="240" w:lineRule="auto"/>
        <w:rPr>
          <w:i/>
        </w:rPr>
      </w:pPr>
      <w:proofErr w:type="gramStart"/>
      <w:r w:rsidRPr="00970A1B">
        <w:rPr>
          <w:i/>
        </w:rPr>
        <w:t>A - audiovizuální</w:t>
      </w:r>
      <w:proofErr w:type="gramEnd"/>
      <w:r w:rsidRPr="00970A1B">
        <w:rPr>
          <w:i/>
        </w:rPr>
        <w:t xml:space="preserve"> tvorba; </w:t>
      </w:r>
    </w:p>
    <w:p w14:paraId="5CBB725D" w14:textId="77777777" w:rsidR="00BB35D3" w:rsidRPr="00970A1B" w:rsidRDefault="00BB35D3" w:rsidP="003D4328">
      <w:pPr>
        <w:spacing w:after="0" w:line="240" w:lineRule="auto"/>
        <w:rPr>
          <w:i/>
        </w:rPr>
      </w:pPr>
      <w:proofErr w:type="gramStart"/>
      <w:r w:rsidRPr="00970A1B">
        <w:rPr>
          <w:i/>
        </w:rPr>
        <w:t>B - odborná</w:t>
      </w:r>
      <w:proofErr w:type="gramEnd"/>
      <w:r w:rsidRPr="00970A1B">
        <w:rPr>
          <w:i/>
        </w:rPr>
        <w:t xml:space="preserve"> kniha; </w:t>
      </w:r>
    </w:p>
    <w:p w14:paraId="1E1F3D38" w14:textId="77777777" w:rsidR="00BB35D3" w:rsidRPr="00970A1B" w:rsidRDefault="00BB35D3" w:rsidP="003D4328">
      <w:pPr>
        <w:spacing w:after="0" w:line="240" w:lineRule="auto"/>
        <w:rPr>
          <w:i/>
        </w:rPr>
      </w:pPr>
      <w:proofErr w:type="gramStart"/>
      <w:r w:rsidRPr="00970A1B">
        <w:rPr>
          <w:i/>
        </w:rPr>
        <w:t>C - kapitola</w:t>
      </w:r>
      <w:proofErr w:type="gramEnd"/>
      <w:r w:rsidRPr="00970A1B">
        <w:rPr>
          <w:i/>
        </w:rPr>
        <w:t xml:space="preserve"> v odborné knize; </w:t>
      </w:r>
    </w:p>
    <w:p w14:paraId="2F7C423F" w14:textId="77777777" w:rsidR="00BB35D3" w:rsidRPr="00970A1B" w:rsidRDefault="00BB35D3" w:rsidP="003D4328">
      <w:pPr>
        <w:spacing w:after="0" w:line="240" w:lineRule="auto"/>
        <w:rPr>
          <w:i/>
        </w:rPr>
      </w:pPr>
      <w:proofErr w:type="gramStart"/>
      <w:r w:rsidRPr="00970A1B">
        <w:rPr>
          <w:i/>
        </w:rPr>
        <w:t>D - stať</w:t>
      </w:r>
      <w:proofErr w:type="gramEnd"/>
      <w:r w:rsidRPr="00970A1B">
        <w:rPr>
          <w:i/>
        </w:rPr>
        <w:t xml:space="preserve"> ve sborníku; </w:t>
      </w:r>
    </w:p>
    <w:p w14:paraId="4D062781" w14:textId="77777777" w:rsidR="00BB35D3" w:rsidRPr="00970A1B" w:rsidRDefault="00BB35D3" w:rsidP="003D4328">
      <w:pPr>
        <w:spacing w:after="0" w:line="240" w:lineRule="auto"/>
        <w:rPr>
          <w:i/>
        </w:rPr>
      </w:pPr>
      <w:proofErr w:type="gramStart"/>
      <w:r w:rsidRPr="00970A1B">
        <w:rPr>
          <w:i/>
        </w:rPr>
        <w:t>E - uspořádání</w:t>
      </w:r>
      <w:proofErr w:type="gramEnd"/>
      <w:r w:rsidRPr="00970A1B">
        <w:rPr>
          <w:i/>
        </w:rPr>
        <w:t xml:space="preserve"> výstavy; </w:t>
      </w:r>
    </w:p>
    <w:p w14:paraId="002657AF" w14:textId="77777777" w:rsidR="00BB35D3" w:rsidRPr="00970A1B" w:rsidRDefault="00BB35D3" w:rsidP="003D4328">
      <w:pPr>
        <w:spacing w:after="0" w:line="240" w:lineRule="auto"/>
        <w:rPr>
          <w:i/>
        </w:rPr>
      </w:pPr>
      <w:proofErr w:type="spellStart"/>
      <w:r w:rsidRPr="00970A1B">
        <w:rPr>
          <w:i/>
        </w:rPr>
        <w:t>Jimp</w:t>
      </w:r>
      <w:proofErr w:type="spellEnd"/>
      <w:r w:rsidRPr="00970A1B">
        <w:rPr>
          <w:i/>
        </w:rPr>
        <w:t xml:space="preserve">*, </w:t>
      </w:r>
      <w:proofErr w:type="spellStart"/>
      <w:r w:rsidRPr="00970A1B">
        <w:rPr>
          <w:i/>
        </w:rPr>
        <w:t>Jsc</w:t>
      </w:r>
      <w:proofErr w:type="spellEnd"/>
      <w:r w:rsidRPr="00970A1B">
        <w:rPr>
          <w:i/>
        </w:rPr>
        <w:t xml:space="preserve">*, </w:t>
      </w:r>
      <w:proofErr w:type="spellStart"/>
      <w:r w:rsidRPr="00970A1B">
        <w:rPr>
          <w:i/>
        </w:rPr>
        <w:t>Jost</w:t>
      </w:r>
      <w:proofErr w:type="spellEnd"/>
      <w:r w:rsidRPr="00970A1B">
        <w:rPr>
          <w:i/>
        </w:rPr>
        <w:t xml:space="preserve">*- recenzovaný odborný článek; </w:t>
      </w:r>
    </w:p>
    <w:p w14:paraId="59FE838E" w14:textId="77777777" w:rsidR="00BB35D3" w:rsidRPr="00970A1B" w:rsidRDefault="00BB35D3" w:rsidP="003D4328">
      <w:pPr>
        <w:spacing w:after="0" w:line="240" w:lineRule="auto"/>
        <w:rPr>
          <w:i/>
        </w:rPr>
      </w:pPr>
      <w:proofErr w:type="gramStart"/>
      <w:r w:rsidRPr="00970A1B">
        <w:rPr>
          <w:i/>
        </w:rPr>
        <w:t>M - uspořádání</w:t>
      </w:r>
      <w:proofErr w:type="gramEnd"/>
      <w:r w:rsidRPr="00970A1B">
        <w:rPr>
          <w:i/>
        </w:rPr>
        <w:t xml:space="preserve"> konference; </w:t>
      </w:r>
    </w:p>
    <w:p w14:paraId="1409B429" w14:textId="77777777" w:rsidR="00BB35D3" w:rsidRPr="00970A1B" w:rsidRDefault="00BB35D3" w:rsidP="003D4328">
      <w:pPr>
        <w:spacing w:after="0" w:line="240" w:lineRule="auto"/>
        <w:rPr>
          <w:i/>
        </w:rPr>
      </w:pPr>
      <w:proofErr w:type="gramStart"/>
      <w:r w:rsidRPr="00970A1B">
        <w:rPr>
          <w:i/>
        </w:rPr>
        <w:t>S - specializovaná</w:t>
      </w:r>
      <w:proofErr w:type="gramEnd"/>
      <w:r w:rsidRPr="00970A1B">
        <w:rPr>
          <w:i/>
        </w:rPr>
        <w:t xml:space="preserve"> veřejná databáze; </w:t>
      </w:r>
    </w:p>
    <w:p w14:paraId="53513507" w14:textId="77777777" w:rsidR="00BB35D3" w:rsidRPr="00970A1B" w:rsidRDefault="00BB35D3" w:rsidP="003D4328">
      <w:pPr>
        <w:spacing w:after="0" w:line="240" w:lineRule="auto"/>
        <w:rPr>
          <w:i/>
        </w:rPr>
      </w:pPr>
      <w:proofErr w:type="gramStart"/>
      <w:r w:rsidRPr="00970A1B">
        <w:rPr>
          <w:i/>
        </w:rPr>
        <w:t>W - uspořádání</w:t>
      </w:r>
      <w:proofErr w:type="gramEnd"/>
      <w:r w:rsidRPr="00970A1B">
        <w:rPr>
          <w:i/>
        </w:rPr>
        <w:t xml:space="preserve"> workshopu; </w:t>
      </w:r>
    </w:p>
    <w:p w14:paraId="6D6C26DB" w14:textId="77777777" w:rsidR="00BB35D3" w:rsidRPr="00970A1B" w:rsidRDefault="00BB35D3" w:rsidP="003D4328">
      <w:pPr>
        <w:spacing w:after="0" w:line="240" w:lineRule="auto"/>
        <w:rPr>
          <w:i/>
        </w:rPr>
      </w:pPr>
      <w:proofErr w:type="gramStart"/>
      <w:r w:rsidRPr="00970A1B">
        <w:rPr>
          <w:i/>
        </w:rPr>
        <w:t>O - ostatní</w:t>
      </w:r>
      <w:proofErr w:type="gramEnd"/>
      <w:r w:rsidRPr="00970A1B">
        <w:rPr>
          <w:i/>
        </w:rPr>
        <w:t xml:space="preserve"> výsledky.</w:t>
      </w:r>
    </w:p>
    <w:p w14:paraId="691B8D2D" w14:textId="77777777" w:rsidR="00BB35D3" w:rsidRDefault="00BB35D3" w:rsidP="003D4328">
      <w:pPr>
        <w:spacing w:after="0" w:line="240" w:lineRule="auto"/>
      </w:pPr>
    </w:p>
    <w:p w14:paraId="6103EDA8" w14:textId="77777777" w:rsidR="004D1883" w:rsidRPr="00970A1B" w:rsidRDefault="004D1883" w:rsidP="003D4328">
      <w:pPr>
        <w:spacing w:after="0" w:line="240" w:lineRule="auto"/>
      </w:pPr>
    </w:p>
    <w:p w14:paraId="6EC13EF7" w14:textId="77777777" w:rsidR="00BB35D3" w:rsidRPr="003D4328" w:rsidRDefault="00BB35D3" w:rsidP="003D4328">
      <w:pPr>
        <w:spacing w:after="0" w:line="240" w:lineRule="auto"/>
      </w:pPr>
      <w:r w:rsidRPr="003D4328">
        <w:rPr>
          <w:b/>
        </w:rPr>
        <w:lastRenderedPageBreak/>
        <w:t>Otevřený přístup:</w:t>
      </w:r>
      <w:r w:rsidRPr="003D4328">
        <w:t xml:space="preserve"> </w:t>
      </w:r>
    </w:p>
    <w:p w14:paraId="06996A04" w14:textId="77777777" w:rsidR="00BB35D3" w:rsidRPr="003D4328" w:rsidRDefault="00BB35D3" w:rsidP="004D1883">
      <w:pPr>
        <w:spacing w:after="0" w:line="240" w:lineRule="auto"/>
        <w:jc w:val="both"/>
      </w:pPr>
      <w:r w:rsidRPr="003D4328">
        <w:t xml:space="preserve">Uchazeči jsou povinni v této veřejné soutěži zajistit otevřený přístup „open </w:t>
      </w:r>
      <w:proofErr w:type="spellStart"/>
      <w:r w:rsidRPr="003D4328">
        <w:t>access</w:t>
      </w:r>
      <w:proofErr w:type="spellEnd"/>
      <w:r w:rsidRPr="003D4328">
        <w:t>” k druhům výstupů/výsledků označeným hvězdičkou (*) a k souvisejícím výzkumným datům. V případě výsledků jiných druhů, u kterých je zpřístupnění technicky snadné (článek ve sborníku, kapitola v odborné knize apod.), je zpřístupnění obzvlášť vítané a doporučované</w:t>
      </w:r>
      <w:r w:rsidR="004D1883">
        <w:t xml:space="preserve"> viz </w:t>
      </w:r>
      <w:hyperlink r:id="rId13" w:history="1">
        <w:r w:rsidR="004D1883" w:rsidRPr="004D1883">
          <w:rPr>
            <w:rStyle w:val="Hypertextovodkaz"/>
          </w:rPr>
          <w:t>Výzkumná data a otevřený přístup k výstupům/výsledkům</w:t>
        </w:r>
      </w:hyperlink>
      <w:r w:rsidR="004D1883">
        <w:t>.</w:t>
      </w:r>
    </w:p>
    <w:p w14:paraId="4684DEAA" w14:textId="77777777" w:rsidR="00BB35D3" w:rsidRPr="00970A1B" w:rsidRDefault="00BB35D3" w:rsidP="003D4328">
      <w:pPr>
        <w:spacing w:after="0" w:line="240" w:lineRule="auto"/>
        <w:rPr>
          <w:b/>
          <w:color w:val="1F4E79" w:themeColor="accent1" w:themeShade="80"/>
          <w:sz w:val="28"/>
          <w:szCs w:val="28"/>
          <w:highlight w:val="yellow"/>
        </w:rPr>
      </w:pPr>
    </w:p>
    <w:p w14:paraId="725EF6F9" w14:textId="77777777" w:rsidR="00BB35D3" w:rsidRPr="003D4328" w:rsidRDefault="00BB35D3" w:rsidP="003D4328">
      <w:pPr>
        <w:spacing w:after="0" w:line="240" w:lineRule="auto"/>
        <w:rPr>
          <w:b/>
          <w:color w:val="1F4E79" w:themeColor="accent1" w:themeShade="80"/>
          <w:sz w:val="28"/>
          <w:szCs w:val="28"/>
        </w:rPr>
      </w:pPr>
      <w:r w:rsidRPr="003D4328">
        <w:rPr>
          <w:b/>
          <w:color w:val="1F4E79" w:themeColor="accent1" w:themeShade="80"/>
          <w:sz w:val="28"/>
          <w:szCs w:val="28"/>
        </w:rPr>
        <w:t>Podání návrhu projektu:</w:t>
      </w:r>
    </w:p>
    <w:p w14:paraId="403598C8" w14:textId="77777777" w:rsidR="003D709A" w:rsidRPr="003D4328" w:rsidRDefault="003D709A" w:rsidP="003D4328">
      <w:pPr>
        <w:spacing w:after="0" w:line="240" w:lineRule="auto"/>
        <w:rPr>
          <w:b/>
          <w:color w:val="1F4E79" w:themeColor="accent1" w:themeShade="80"/>
          <w:sz w:val="28"/>
          <w:szCs w:val="28"/>
        </w:rPr>
      </w:pPr>
    </w:p>
    <w:p w14:paraId="633300E7" w14:textId="77777777" w:rsidR="00BB35D3" w:rsidRPr="003D4328" w:rsidRDefault="00BB35D3" w:rsidP="003D4328">
      <w:pPr>
        <w:spacing w:after="0" w:line="240" w:lineRule="auto"/>
      </w:pPr>
      <w:r w:rsidRPr="003D4328">
        <w:t xml:space="preserve">Návrh projektu musí být do veřejné soutěže podán v elektronické podobě prostřednictvím ISTA. </w:t>
      </w:r>
    </w:p>
    <w:p w14:paraId="36B68C5D" w14:textId="77777777" w:rsidR="00BB35D3" w:rsidRPr="003D4328" w:rsidRDefault="00BB35D3" w:rsidP="003D4328">
      <w:pPr>
        <w:spacing w:after="0" w:line="240" w:lineRule="auto"/>
      </w:pPr>
      <w:r w:rsidRPr="003D4328">
        <w:t xml:space="preserve">Po podání návrhu projektu prostřednictvím ISTA vlastník6 návrhu projektu vygeneruje dokument </w:t>
      </w:r>
      <w:r w:rsidRPr="003D4328">
        <w:rPr>
          <w:b/>
        </w:rPr>
        <w:t>„Potvrzení podání elektronického návrhu projektu do ISTA”</w:t>
      </w:r>
      <w:r w:rsidRPr="003D4328">
        <w:t xml:space="preserve">. Potvrzení podání elektronického návrhu projektu do ISTA: </w:t>
      </w:r>
    </w:p>
    <w:p w14:paraId="14339B96" w14:textId="77777777" w:rsidR="003D4328" w:rsidRPr="003D4328" w:rsidRDefault="00BB35D3" w:rsidP="00115926">
      <w:pPr>
        <w:pStyle w:val="Odstavecseseznamem"/>
        <w:numPr>
          <w:ilvl w:val="0"/>
          <w:numId w:val="40"/>
        </w:numPr>
        <w:spacing w:after="0" w:line="240" w:lineRule="auto"/>
      </w:pPr>
      <w:r w:rsidRPr="003D4328">
        <w:t xml:space="preserve">musí být odesláno z datové schránky hlavního uchazeče do datové schránky TA ČR (ID datové schránky: afth9xp); </w:t>
      </w:r>
    </w:p>
    <w:p w14:paraId="1AE48E21" w14:textId="77777777" w:rsidR="003D709A" w:rsidRPr="003D4328" w:rsidRDefault="003D4328" w:rsidP="00115926">
      <w:pPr>
        <w:pStyle w:val="Odstavecseseznamem"/>
        <w:numPr>
          <w:ilvl w:val="0"/>
          <w:numId w:val="40"/>
        </w:numPr>
        <w:spacing w:after="0" w:line="240" w:lineRule="auto"/>
      </w:pPr>
      <w:r w:rsidRPr="003D4328">
        <w:t xml:space="preserve">v náležitostech zprávy uveďte </w:t>
      </w:r>
      <w:r w:rsidRPr="00115926">
        <w:rPr>
          <w:b/>
        </w:rPr>
        <w:t xml:space="preserve">„2. VS programu </w:t>
      </w:r>
      <w:proofErr w:type="gramStart"/>
      <w:r w:rsidRPr="00115926">
        <w:rPr>
          <w:b/>
        </w:rPr>
        <w:t>SIGMA - DC2</w:t>
      </w:r>
      <w:proofErr w:type="gramEnd"/>
      <w:r w:rsidRPr="00115926">
        <w:rPr>
          <w:b/>
        </w:rPr>
        <w:t xml:space="preserve"> – Potvrzení podání“.</w:t>
      </w:r>
    </w:p>
    <w:p w14:paraId="4D2D4A26" w14:textId="77777777" w:rsidR="003D4328" w:rsidRPr="003D4328" w:rsidRDefault="003D4328" w:rsidP="003D4328">
      <w:pPr>
        <w:spacing w:after="0" w:line="240" w:lineRule="auto"/>
        <w:rPr>
          <w:i/>
          <w:u w:val="single"/>
        </w:rPr>
      </w:pPr>
    </w:p>
    <w:p w14:paraId="5D827C8E" w14:textId="77777777" w:rsidR="00894BEB" w:rsidRPr="004D1883" w:rsidRDefault="00894BEB" w:rsidP="003D4328">
      <w:pPr>
        <w:spacing w:after="0" w:line="240" w:lineRule="auto"/>
        <w:rPr>
          <w:b/>
          <w:color w:val="1F4E79" w:themeColor="accent1" w:themeShade="80"/>
          <w:sz w:val="28"/>
          <w:szCs w:val="28"/>
        </w:rPr>
      </w:pPr>
      <w:r w:rsidRPr="004D1883">
        <w:rPr>
          <w:b/>
          <w:color w:val="1F4E79" w:themeColor="accent1" w:themeShade="80"/>
          <w:sz w:val="28"/>
          <w:szCs w:val="28"/>
        </w:rPr>
        <w:t>Požadavky na způsobilost:</w:t>
      </w:r>
    </w:p>
    <w:p w14:paraId="71F12AE0" w14:textId="77777777" w:rsidR="003D709A" w:rsidRPr="004D1883" w:rsidRDefault="003D709A" w:rsidP="003D4328">
      <w:pPr>
        <w:spacing w:after="0" w:line="240" w:lineRule="auto"/>
        <w:rPr>
          <w:b/>
          <w:color w:val="1F4E79" w:themeColor="accent1" w:themeShade="80"/>
          <w:sz w:val="28"/>
          <w:szCs w:val="28"/>
        </w:rPr>
      </w:pPr>
    </w:p>
    <w:p w14:paraId="4C06C4AB" w14:textId="77777777" w:rsidR="004540B9" w:rsidRPr="004D1883" w:rsidRDefault="004540B9" w:rsidP="003D4328">
      <w:pPr>
        <w:spacing w:after="0" w:line="240" w:lineRule="auto"/>
        <w:rPr>
          <w:b/>
        </w:rPr>
      </w:pPr>
      <w:r w:rsidRPr="004D1883">
        <w:rPr>
          <w:b/>
        </w:rPr>
        <w:t>Požadavky na způsobilost:</w:t>
      </w:r>
    </w:p>
    <w:p w14:paraId="3AB3A02D" w14:textId="77777777" w:rsidR="004540B9" w:rsidRPr="004D1883" w:rsidRDefault="004540B9" w:rsidP="003D4328">
      <w:pPr>
        <w:spacing w:after="0" w:line="240" w:lineRule="auto"/>
        <w:jc w:val="both"/>
        <w:rPr>
          <w:b/>
        </w:rPr>
      </w:pPr>
      <w:r w:rsidRPr="004D1883">
        <w:rPr>
          <w:b/>
        </w:rPr>
        <w:t xml:space="preserve">Čestné prohlášení za uchazeče – bude zajištěno rektorátem prostřednictvím datové schránky centrálně za všechny projekty ve lhůtě stanovené poskytovatelem. </w:t>
      </w:r>
      <w:r w:rsidRPr="004D1883">
        <w:t>Všichni uchazeči musí zaslat ČP o prokázání způsobilosti uchazeče ze své datové schránky a v kolonce Věc musí být uvedeno:</w:t>
      </w:r>
      <w:r w:rsidRPr="004D1883">
        <w:rPr>
          <w:b/>
        </w:rPr>
        <w:t xml:space="preserve"> „</w:t>
      </w:r>
      <w:r w:rsidR="004D1883">
        <w:rPr>
          <w:b/>
        </w:rPr>
        <w:t>2. VS p</w:t>
      </w:r>
      <w:r w:rsidR="00126231" w:rsidRPr="004D1883">
        <w:rPr>
          <w:b/>
        </w:rPr>
        <w:t>rogram</w:t>
      </w:r>
      <w:r w:rsidR="004D1883">
        <w:rPr>
          <w:b/>
        </w:rPr>
        <w:t>u</w:t>
      </w:r>
      <w:r w:rsidR="00126231" w:rsidRPr="004D1883">
        <w:rPr>
          <w:b/>
        </w:rPr>
        <w:t xml:space="preserve"> SIGMA – DC</w:t>
      </w:r>
      <w:r w:rsidR="004D1883" w:rsidRPr="004D1883">
        <w:rPr>
          <w:b/>
        </w:rPr>
        <w:t>2</w:t>
      </w:r>
      <w:r w:rsidR="00126231" w:rsidRPr="004D1883">
        <w:rPr>
          <w:b/>
        </w:rPr>
        <w:t xml:space="preserve"> – Prokázání způsobilost</w:t>
      </w:r>
      <w:r w:rsidRPr="004D1883">
        <w:rPr>
          <w:b/>
        </w:rPr>
        <w:t xml:space="preserve">“. </w:t>
      </w:r>
      <w:r w:rsidRPr="004D1883">
        <w:t>Zahraniční uchazeči</w:t>
      </w:r>
      <w:r w:rsidR="000036D5" w:rsidRPr="004D1883">
        <w:t xml:space="preserve"> nebo ti, kteří nemají datovou schránku</w:t>
      </w:r>
      <w:r w:rsidRPr="004D1883">
        <w:t xml:space="preserve"> zašlou doklady prokazující způsobilost v listinné podobě.</w:t>
      </w:r>
      <w:r w:rsidRPr="004D1883">
        <w:rPr>
          <w:b/>
        </w:rPr>
        <w:t xml:space="preserve"> </w:t>
      </w:r>
    </w:p>
    <w:p w14:paraId="18149FD6" w14:textId="77777777" w:rsidR="003D709A" w:rsidRPr="004D1883" w:rsidRDefault="003D709A" w:rsidP="003D4328">
      <w:pPr>
        <w:spacing w:after="0" w:line="240" w:lineRule="auto"/>
        <w:jc w:val="both"/>
        <w:rPr>
          <w:b/>
        </w:rPr>
      </w:pPr>
    </w:p>
    <w:p w14:paraId="6A44A523" w14:textId="77777777" w:rsidR="00894BEB" w:rsidRPr="004D1883" w:rsidRDefault="004540B9" w:rsidP="003D4328">
      <w:pPr>
        <w:spacing w:after="0" w:line="240" w:lineRule="auto"/>
        <w:jc w:val="both"/>
        <w:rPr>
          <w:b/>
        </w:rPr>
      </w:pPr>
      <w:r w:rsidRPr="004D1883">
        <w:rPr>
          <w:b/>
        </w:rPr>
        <w:t>VUT splňuje povinnost zveřejnit účetní závěrku tím, že vydává výroční zprávu o hospodaření.</w:t>
      </w:r>
    </w:p>
    <w:p w14:paraId="66802C18" w14:textId="77777777" w:rsidR="003D709A" w:rsidRPr="004D1883" w:rsidRDefault="003D709A" w:rsidP="003D4328">
      <w:pPr>
        <w:spacing w:after="0" w:line="240" w:lineRule="auto"/>
        <w:jc w:val="both"/>
        <w:rPr>
          <w:b/>
        </w:rPr>
      </w:pPr>
    </w:p>
    <w:p w14:paraId="5E2882A3" w14:textId="77777777" w:rsidR="00AA343B" w:rsidRPr="004D1883" w:rsidRDefault="00AA343B" w:rsidP="003D4328">
      <w:pPr>
        <w:spacing w:after="0" w:line="240" w:lineRule="auto"/>
        <w:jc w:val="both"/>
        <w:rPr>
          <w:b/>
        </w:rPr>
      </w:pPr>
      <w:r w:rsidRPr="004D1883">
        <w:rPr>
          <w:b/>
        </w:rPr>
        <w:t xml:space="preserve">Uchazeči musí být zapsaní v evidenci skutečných majitelů. </w:t>
      </w:r>
    </w:p>
    <w:p w14:paraId="532892F6" w14:textId="77777777" w:rsidR="00126231" w:rsidRPr="00970A1B" w:rsidRDefault="00126231" w:rsidP="003D4328">
      <w:pPr>
        <w:spacing w:after="0" w:line="240" w:lineRule="auto"/>
        <w:rPr>
          <w:b/>
          <w:color w:val="1F4E79" w:themeColor="accent1" w:themeShade="80"/>
          <w:sz w:val="28"/>
          <w:szCs w:val="28"/>
          <w:highlight w:val="yellow"/>
        </w:rPr>
      </w:pPr>
    </w:p>
    <w:p w14:paraId="569AC8D9" w14:textId="77777777" w:rsidR="00287745" w:rsidRPr="00CD2C4A" w:rsidRDefault="003206E0" w:rsidP="003D4328">
      <w:pPr>
        <w:spacing w:after="0" w:line="240" w:lineRule="auto"/>
        <w:rPr>
          <w:b/>
          <w:color w:val="1F4E79" w:themeColor="accent1" w:themeShade="80"/>
          <w:sz w:val="28"/>
          <w:szCs w:val="28"/>
        </w:rPr>
      </w:pPr>
      <w:r w:rsidRPr="00CD2C4A">
        <w:rPr>
          <w:b/>
          <w:color w:val="1F4E79" w:themeColor="accent1" w:themeShade="80"/>
          <w:sz w:val="28"/>
          <w:szCs w:val="28"/>
        </w:rPr>
        <w:t>Povinné přílohy:</w:t>
      </w:r>
    </w:p>
    <w:p w14:paraId="0B1812BD" w14:textId="77777777" w:rsidR="003D709A" w:rsidRPr="00970A1B" w:rsidRDefault="003D709A" w:rsidP="003D4328">
      <w:pPr>
        <w:spacing w:after="0" w:line="240" w:lineRule="auto"/>
        <w:rPr>
          <w:b/>
          <w:color w:val="1F4E79" w:themeColor="accent1" w:themeShade="80"/>
          <w:sz w:val="28"/>
          <w:szCs w:val="28"/>
          <w:highlight w:val="yellow"/>
        </w:rPr>
      </w:pPr>
    </w:p>
    <w:p w14:paraId="35939156" w14:textId="77777777" w:rsidR="00115926" w:rsidRPr="008F06E5" w:rsidRDefault="009754C2" w:rsidP="00115926">
      <w:pPr>
        <w:spacing w:after="0" w:line="240" w:lineRule="auto"/>
        <w:rPr>
          <w:b/>
          <w:szCs w:val="28"/>
          <w:u w:val="single"/>
        </w:rPr>
      </w:pPr>
      <w:r w:rsidRPr="008F06E5">
        <w:rPr>
          <w:b/>
          <w:szCs w:val="28"/>
          <w:u w:val="single"/>
        </w:rPr>
        <w:t>Prostřednictvím datové schránky:</w:t>
      </w:r>
    </w:p>
    <w:p w14:paraId="793B5E50" w14:textId="77777777" w:rsidR="00115926" w:rsidRPr="008F06E5" w:rsidRDefault="00BB35D3" w:rsidP="00115926">
      <w:pPr>
        <w:pStyle w:val="Odstavecseseznamem"/>
        <w:numPr>
          <w:ilvl w:val="0"/>
          <w:numId w:val="41"/>
        </w:numPr>
        <w:spacing w:after="0" w:line="240" w:lineRule="auto"/>
        <w:rPr>
          <w:b/>
          <w:szCs w:val="28"/>
          <w:u w:val="single"/>
        </w:rPr>
      </w:pPr>
      <w:r w:rsidRPr="008F06E5">
        <w:rPr>
          <w:b/>
        </w:rPr>
        <w:t xml:space="preserve">Čestné prohlášení za uchazeče </w:t>
      </w:r>
      <w:r w:rsidR="009754C2" w:rsidRPr="008F06E5">
        <w:rPr>
          <w:b/>
        </w:rPr>
        <w:t xml:space="preserve">– </w:t>
      </w:r>
      <w:r w:rsidR="009754C2" w:rsidRPr="008F06E5">
        <w:t>hlavní uchazeč i další účastníci</w:t>
      </w:r>
    </w:p>
    <w:p w14:paraId="759E2D9A" w14:textId="77777777" w:rsidR="009754C2" w:rsidRPr="008F06E5" w:rsidRDefault="00BB35D3" w:rsidP="00115926">
      <w:pPr>
        <w:pStyle w:val="Odstavecseseznamem"/>
        <w:numPr>
          <w:ilvl w:val="0"/>
          <w:numId w:val="41"/>
        </w:numPr>
        <w:spacing w:after="0" w:line="240" w:lineRule="auto"/>
        <w:rPr>
          <w:b/>
          <w:szCs w:val="28"/>
          <w:u w:val="single"/>
        </w:rPr>
      </w:pPr>
      <w:r w:rsidRPr="008F06E5">
        <w:rPr>
          <w:b/>
        </w:rPr>
        <w:t>Potvrzení podání elektronického návrhu do ISTA</w:t>
      </w:r>
    </w:p>
    <w:p w14:paraId="5048679A" w14:textId="77777777" w:rsidR="009754C2" w:rsidRPr="00970A1B" w:rsidRDefault="009754C2" w:rsidP="003D4328">
      <w:pPr>
        <w:spacing w:after="0" w:line="240" w:lineRule="auto"/>
        <w:rPr>
          <w:b/>
          <w:highlight w:val="yellow"/>
        </w:rPr>
      </w:pPr>
    </w:p>
    <w:p w14:paraId="04BB6620" w14:textId="77777777" w:rsidR="009754C2" w:rsidRPr="00CD2C4A" w:rsidRDefault="009754C2" w:rsidP="003D4328">
      <w:pPr>
        <w:spacing w:after="0" w:line="240" w:lineRule="auto"/>
        <w:rPr>
          <w:b/>
          <w:u w:val="single"/>
        </w:rPr>
      </w:pPr>
      <w:r w:rsidRPr="00CD2C4A">
        <w:rPr>
          <w:b/>
          <w:u w:val="single"/>
        </w:rPr>
        <w:t>Prostřednictvím příloh projektu do ISTA:</w:t>
      </w:r>
    </w:p>
    <w:p w14:paraId="244991AC" w14:textId="77777777" w:rsidR="00CD2C4A" w:rsidRPr="00CD2C4A" w:rsidRDefault="009754C2" w:rsidP="00CD2C4A">
      <w:pPr>
        <w:pStyle w:val="Odstavecseseznamem"/>
        <w:numPr>
          <w:ilvl w:val="0"/>
          <w:numId w:val="42"/>
        </w:numPr>
        <w:spacing w:after="0" w:line="240" w:lineRule="auto"/>
        <w:rPr>
          <w:b/>
        </w:rPr>
      </w:pPr>
      <w:r w:rsidRPr="00CD2C4A">
        <w:rPr>
          <w:b/>
        </w:rPr>
        <w:t>Účet</w:t>
      </w:r>
      <w:r w:rsidR="0017399A" w:rsidRPr="00CD2C4A">
        <w:rPr>
          <w:b/>
        </w:rPr>
        <w:t>n</w:t>
      </w:r>
      <w:r w:rsidRPr="00CD2C4A">
        <w:rPr>
          <w:b/>
        </w:rPr>
        <w:t>í závěrky za roky 201</w:t>
      </w:r>
      <w:r w:rsidR="003D4328" w:rsidRPr="00CD2C4A">
        <w:rPr>
          <w:b/>
        </w:rPr>
        <w:t>9</w:t>
      </w:r>
      <w:r w:rsidRPr="00CD2C4A">
        <w:rPr>
          <w:b/>
        </w:rPr>
        <w:t>, 20</w:t>
      </w:r>
      <w:r w:rsidR="003D4328" w:rsidRPr="00CD2C4A">
        <w:rPr>
          <w:b/>
        </w:rPr>
        <w:t>20</w:t>
      </w:r>
      <w:r w:rsidRPr="00CD2C4A">
        <w:rPr>
          <w:b/>
        </w:rPr>
        <w:t>, 202</w:t>
      </w:r>
      <w:r w:rsidR="003D4328" w:rsidRPr="00CD2C4A">
        <w:rPr>
          <w:b/>
        </w:rPr>
        <w:t>1</w:t>
      </w:r>
    </w:p>
    <w:p w14:paraId="3566483B" w14:textId="77777777" w:rsidR="00CD2C4A" w:rsidRPr="00CD2C4A" w:rsidRDefault="00CD2C4A" w:rsidP="00CD2C4A">
      <w:pPr>
        <w:pStyle w:val="Odstavecseseznamem"/>
        <w:numPr>
          <w:ilvl w:val="0"/>
          <w:numId w:val="42"/>
        </w:numPr>
        <w:spacing w:after="0" w:line="240" w:lineRule="auto"/>
        <w:rPr>
          <w:b/>
        </w:rPr>
      </w:pPr>
      <w:r w:rsidRPr="00CD2C4A">
        <w:rPr>
          <w:rFonts w:ascii="Calibri" w:hAnsi="Calibri" w:cs="Calibri"/>
          <w:b/>
          <w:color w:val="000000"/>
        </w:rPr>
        <w:t>V</w:t>
      </w:r>
      <w:r w:rsidR="009754C2" w:rsidRPr="00CD2C4A">
        <w:rPr>
          <w:rFonts w:ascii="Calibri" w:hAnsi="Calibri" w:cs="Calibri"/>
          <w:b/>
          <w:color w:val="000000"/>
        </w:rPr>
        <w:t> případě výsledků</w:t>
      </w:r>
      <w:r w:rsidRPr="00CD2C4A">
        <w:rPr>
          <w:rFonts w:ascii="Calibri" w:hAnsi="Calibri" w:cs="Calibri"/>
          <w:b/>
          <w:color w:val="000000"/>
        </w:rPr>
        <w:t xml:space="preserve"> </w:t>
      </w:r>
      <w:proofErr w:type="spellStart"/>
      <w:r w:rsidRPr="00CD2C4A">
        <w:rPr>
          <w:rFonts w:ascii="Calibri" w:hAnsi="Calibri" w:cs="Calibri"/>
          <w:b/>
          <w:color w:val="000000"/>
        </w:rPr>
        <w:t>NmetS</w:t>
      </w:r>
      <w:proofErr w:type="spellEnd"/>
      <w:r w:rsidRPr="00CD2C4A">
        <w:rPr>
          <w:rFonts w:ascii="Calibri" w:hAnsi="Calibri" w:cs="Calibri"/>
          <w:b/>
          <w:color w:val="000000"/>
        </w:rPr>
        <w:t xml:space="preserve">, </w:t>
      </w:r>
      <w:proofErr w:type="spellStart"/>
      <w:r w:rsidRPr="00CD2C4A">
        <w:rPr>
          <w:rFonts w:ascii="Calibri" w:hAnsi="Calibri" w:cs="Calibri"/>
          <w:b/>
          <w:color w:val="000000"/>
        </w:rPr>
        <w:t>NmetA</w:t>
      </w:r>
      <w:proofErr w:type="spellEnd"/>
      <w:r w:rsidRPr="00CD2C4A">
        <w:rPr>
          <w:rFonts w:ascii="Calibri" w:hAnsi="Calibri" w:cs="Calibri"/>
          <w:b/>
          <w:color w:val="000000"/>
        </w:rPr>
        <w:t xml:space="preserve">, </w:t>
      </w:r>
      <w:proofErr w:type="spellStart"/>
      <w:r w:rsidRPr="00CD2C4A">
        <w:rPr>
          <w:rFonts w:ascii="Calibri" w:hAnsi="Calibri" w:cs="Calibri"/>
          <w:b/>
          <w:color w:val="000000"/>
        </w:rPr>
        <w:t>NmetC</w:t>
      </w:r>
      <w:proofErr w:type="spellEnd"/>
      <w:r w:rsidRPr="00CD2C4A">
        <w:rPr>
          <w:rFonts w:ascii="Calibri" w:hAnsi="Calibri" w:cs="Calibri"/>
          <w:b/>
          <w:color w:val="000000"/>
        </w:rPr>
        <w:t xml:space="preserve"> – formulář pro druh výsledku </w:t>
      </w:r>
      <w:proofErr w:type="spellStart"/>
      <w:r w:rsidRPr="00CD2C4A">
        <w:rPr>
          <w:rFonts w:ascii="Calibri" w:hAnsi="Calibri" w:cs="Calibri"/>
          <w:b/>
          <w:color w:val="000000"/>
        </w:rPr>
        <w:t>Nmet</w:t>
      </w:r>
      <w:proofErr w:type="spellEnd"/>
    </w:p>
    <w:p w14:paraId="2FEDC39F" w14:textId="77777777" w:rsidR="009754C2" w:rsidRPr="00CD2C4A" w:rsidRDefault="009754C2" w:rsidP="00CD2C4A">
      <w:pPr>
        <w:pStyle w:val="Odstavecseseznamem"/>
        <w:numPr>
          <w:ilvl w:val="0"/>
          <w:numId w:val="42"/>
        </w:numPr>
        <w:spacing w:after="0" w:line="240" w:lineRule="auto"/>
        <w:rPr>
          <w:b/>
        </w:rPr>
      </w:pPr>
      <w:r w:rsidRPr="00CD2C4A">
        <w:rPr>
          <w:b/>
        </w:rPr>
        <w:t xml:space="preserve">V případě účasti dalšího účastníka ze zahraniční </w:t>
      </w:r>
    </w:p>
    <w:p w14:paraId="4F76697A" w14:textId="77777777" w:rsidR="004D1883" w:rsidRPr="00CD2C4A" w:rsidRDefault="009754C2" w:rsidP="00CD2C4A">
      <w:pPr>
        <w:pStyle w:val="Odstavecseseznamem"/>
        <w:numPr>
          <w:ilvl w:val="0"/>
          <w:numId w:val="17"/>
        </w:numPr>
        <w:spacing w:after="0" w:line="240" w:lineRule="auto"/>
        <w:rPr>
          <w:b/>
        </w:rPr>
      </w:pPr>
      <w:r w:rsidRPr="008F06E5">
        <w:t>údaje o skutečném majiteli</w:t>
      </w:r>
    </w:p>
    <w:p w14:paraId="0CB94870" w14:textId="77777777" w:rsidR="009754C2" w:rsidRPr="008F06E5" w:rsidRDefault="0035516F" w:rsidP="004D1883">
      <w:pPr>
        <w:pStyle w:val="Odstavecseseznamem"/>
        <w:numPr>
          <w:ilvl w:val="0"/>
          <w:numId w:val="17"/>
        </w:numPr>
        <w:spacing w:after="0" w:line="240" w:lineRule="auto"/>
        <w:rPr>
          <w:b/>
        </w:rPr>
      </w:pPr>
      <w:r w:rsidRPr="008F06E5">
        <w:rPr>
          <w:rFonts w:ascii="Calibri" w:hAnsi="Calibri" w:cs="Calibri"/>
          <w:color w:val="000000"/>
        </w:rPr>
        <w:t>č</w:t>
      </w:r>
      <w:r w:rsidR="009754C2" w:rsidRPr="008F06E5">
        <w:rPr>
          <w:rFonts w:ascii="Calibri" w:hAnsi="Calibri" w:cs="Calibri"/>
          <w:color w:val="000000"/>
        </w:rPr>
        <w:t>estné prohlášení, které bude obsahovat finanční položky potřebné k výpočtu podniku v obtížích za roky 201</w:t>
      </w:r>
      <w:r w:rsidR="004D1883" w:rsidRPr="008F06E5">
        <w:rPr>
          <w:rFonts w:ascii="Calibri" w:hAnsi="Calibri" w:cs="Calibri"/>
          <w:color w:val="000000"/>
        </w:rPr>
        <w:t>9</w:t>
      </w:r>
      <w:r w:rsidR="009754C2" w:rsidRPr="008F06E5">
        <w:rPr>
          <w:rFonts w:ascii="Calibri" w:hAnsi="Calibri" w:cs="Calibri"/>
          <w:color w:val="000000"/>
        </w:rPr>
        <w:t>, 20</w:t>
      </w:r>
      <w:r w:rsidR="004D1883" w:rsidRPr="008F06E5">
        <w:rPr>
          <w:rFonts w:ascii="Calibri" w:hAnsi="Calibri" w:cs="Calibri"/>
          <w:color w:val="000000"/>
        </w:rPr>
        <w:t>20</w:t>
      </w:r>
      <w:r w:rsidR="009754C2" w:rsidRPr="008F06E5">
        <w:rPr>
          <w:rFonts w:ascii="Calibri" w:hAnsi="Calibri" w:cs="Calibri"/>
          <w:color w:val="000000"/>
        </w:rPr>
        <w:t xml:space="preserve"> a 202</w:t>
      </w:r>
      <w:r w:rsidR="004D1883" w:rsidRPr="008F06E5">
        <w:rPr>
          <w:rFonts w:ascii="Calibri" w:hAnsi="Calibri" w:cs="Calibri"/>
          <w:color w:val="000000"/>
        </w:rPr>
        <w:t>1</w:t>
      </w:r>
      <w:r w:rsidR="009754C2" w:rsidRPr="008F06E5">
        <w:rPr>
          <w:rFonts w:ascii="Calibri" w:hAnsi="Calibri" w:cs="Calibri"/>
          <w:color w:val="000000"/>
        </w:rPr>
        <w:t xml:space="preserve"> </w:t>
      </w:r>
    </w:p>
    <w:p w14:paraId="3B1C9F5E" w14:textId="77777777" w:rsidR="00767B2D" w:rsidRPr="00970A1B" w:rsidRDefault="00767B2D" w:rsidP="003D4328">
      <w:pPr>
        <w:autoSpaceDE w:val="0"/>
        <w:autoSpaceDN w:val="0"/>
        <w:adjustRightInd w:val="0"/>
        <w:spacing w:after="0" w:line="240" w:lineRule="auto"/>
        <w:rPr>
          <w:rFonts w:ascii="Calibri" w:hAnsi="Calibri" w:cs="Calibri"/>
          <w:color w:val="000000"/>
          <w:highlight w:val="yellow"/>
        </w:rPr>
      </w:pPr>
    </w:p>
    <w:p w14:paraId="541AB935" w14:textId="77777777" w:rsidR="009754C2" w:rsidRPr="003D4328" w:rsidRDefault="009754C2" w:rsidP="003D4328">
      <w:pPr>
        <w:autoSpaceDE w:val="0"/>
        <w:autoSpaceDN w:val="0"/>
        <w:adjustRightInd w:val="0"/>
        <w:spacing w:after="0" w:line="240" w:lineRule="auto"/>
        <w:rPr>
          <w:rFonts w:ascii="Calibri" w:hAnsi="Calibri" w:cs="Calibri"/>
          <w:b/>
          <w:bCs/>
          <w:color w:val="000000"/>
          <w:sz w:val="23"/>
          <w:szCs w:val="23"/>
          <w:u w:val="single"/>
        </w:rPr>
      </w:pPr>
      <w:r w:rsidRPr="003D4328">
        <w:rPr>
          <w:rFonts w:ascii="Calibri" w:hAnsi="Calibri" w:cs="Calibri"/>
          <w:b/>
          <w:bCs/>
          <w:color w:val="000000"/>
          <w:sz w:val="23"/>
          <w:szCs w:val="23"/>
          <w:u w:val="single"/>
        </w:rPr>
        <w:t xml:space="preserve">Náležitosti, které uchazeči dokládají prostřednictvím ISTA: </w:t>
      </w:r>
    </w:p>
    <w:p w14:paraId="203FFADA" w14:textId="77777777" w:rsidR="00115926" w:rsidRDefault="003D4328" w:rsidP="00115926">
      <w:pPr>
        <w:pStyle w:val="Odstavecseseznamem"/>
        <w:numPr>
          <w:ilvl w:val="0"/>
          <w:numId w:val="29"/>
        </w:numPr>
        <w:autoSpaceDE w:val="0"/>
        <w:autoSpaceDN w:val="0"/>
        <w:adjustRightInd w:val="0"/>
        <w:spacing w:after="0" w:line="240" w:lineRule="auto"/>
        <w:rPr>
          <w:rFonts w:ascii="Calibri" w:hAnsi="Calibri" w:cs="Calibri"/>
          <w:color w:val="000000"/>
        </w:rPr>
      </w:pPr>
      <w:r w:rsidRPr="004D1883">
        <w:rPr>
          <w:b/>
        </w:rPr>
        <w:t>odborné předpoklady k řešení projektu</w:t>
      </w:r>
      <w:r w:rsidRPr="003D4328">
        <w:t xml:space="preserve"> – vyplňují se u klíčových osob řešitelského týmu v části “Odborný životopis”. Každý hlavní uchazeč musí mít v návrhu projektu alespoň jednu osobu v roli řešitel a každý případný další účastník musí mít alespoň jednu osobu v roli další řešitel; </w:t>
      </w:r>
    </w:p>
    <w:p w14:paraId="51873371" w14:textId="77777777" w:rsidR="004D1883" w:rsidRPr="004D1883" w:rsidRDefault="003D4328" w:rsidP="004D1883">
      <w:pPr>
        <w:pStyle w:val="Odstavecseseznamem"/>
        <w:numPr>
          <w:ilvl w:val="0"/>
          <w:numId w:val="29"/>
        </w:numPr>
        <w:autoSpaceDE w:val="0"/>
        <w:autoSpaceDN w:val="0"/>
        <w:adjustRightInd w:val="0"/>
        <w:spacing w:after="0" w:line="240" w:lineRule="auto"/>
        <w:rPr>
          <w:rFonts w:ascii="Calibri" w:hAnsi="Calibri" w:cs="Calibri"/>
          <w:color w:val="000000"/>
        </w:rPr>
      </w:pPr>
      <w:r w:rsidRPr="004D1883">
        <w:rPr>
          <w:b/>
        </w:rPr>
        <w:lastRenderedPageBreak/>
        <w:t>oprávnění k činnosti relevantní k plánovaným činnostem v návrhu projektu</w:t>
      </w:r>
      <w:r w:rsidRPr="003D4328">
        <w:t xml:space="preserve"> – do návrhu projektu se vkládá kopie (např. oprávnění k provádění biologického zkoušení, povolení výzkumu na lidských embryonálních kmenových buňkách); </w:t>
      </w:r>
    </w:p>
    <w:p w14:paraId="4ACD635F" w14:textId="77777777" w:rsidR="0017399A" w:rsidRPr="004D1883" w:rsidRDefault="003D4328" w:rsidP="004D1883">
      <w:pPr>
        <w:pStyle w:val="Odstavecseseznamem"/>
        <w:numPr>
          <w:ilvl w:val="0"/>
          <w:numId w:val="29"/>
        </w:numPr>
        <w:autoSpaceDE w:val="0"/>
        <w:autoSpaceDN w:val="0"/>
        <w:adjustRightInd w:val="0"/>
        <w:spacing w:after="0" w:line="240" w:lineRule="auto"/>
        <w:rPr>
          <w:rFonts w:ascii="Calibri" w:hAnsi="Calibri" w:cs="Calibri"/>
          <w:color w:val="000000"/>
        </w:rPr>
      </w:pPr>
      <w:r w:rsidRPr="004D1883">
        <w:rPr>
          <w:b/>
        </w:rPr>
        <w:t>vlastnická struktura za každého uchazeče</w:t>
      </w:r>
      <w:r w:rsidRPr="003D4328">
        <w:t xml:space="preserve"> – každý uchazeč musí uvést všechny koncové fyzické osoby, které mají podíl minimálně 10 % (pokud z právní formy uchazeče vyplývá, že nemá vlastnickou strukturu, tato povinnost se na něj nevztahuje).</w:t>
      </w:r>
    </w:p>
    <w:p w14:paraId="446A0DE0" w14:textId="77777777" w:rsidR="00563DF1" w:rsidRDefault="002613EA" w:rsidP="003D4328">
      <w:pPr>
        <w:spacing w:after="0" w:line="240" w:lineRule="auto"/>
        <w:jc w:val="both"/>
      </w:pPr>
      <w:r w:rsidRPr="003D4328">
        <w:t xml:space="preserve"> </w:t>
      </w:r>
    </w:p>
    <w:sectPr w:rsidR="00563D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8CFBDD"/>
    <w:multiLevelType w:val="hybridMultilevel"/>
    <w:tmpl w:val="E0B3022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CB2645"/>
    <w:multiLevelType w:val="hybridMultilevel"/>
    <w:tmpl w:val="A03862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CF3B66E"/>
    <w:multiLevelType w:val="hybridMultilevel"/>
    <w:tmpl w:val="BC8360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3B0BE0"/>
    <w:multiLevelType w:val="hybridMultilevel"/>
    <w:tmpl w:val="62163A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1EC973"/>
    <w:multiLevelType w:val="hybridMultilevel"/>
    <w:tmpl w:val="67B070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AA35191"/>
    <w:multiLevelType w:val="multilevel"/>
    <w:tmpl w:val="E30E3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8E6F7F"/>
    <w:multiLevelType w:val="hybridMultilevel"/>
    <w:tmpl w:val="5F2EF9C6"/>
    <w:lvl w:ilvl="0" w:tplc="AE1AB2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BBC6BDC"/>
    <w:multiLevelType w:val="hybridMultilevel"/>
    <w:tmpl w:val="56AA154A"/>
    <w:lvl w:ilvl="0" w:tplc="AE1AB2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DEA09D0"/>
    <w:multiLevelType w:val="hybridMultilevel"/>
    <w:tmpl w:val="515CBC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0F0B5DB4"/>
    <w:multiLevelType w:val="hybridMultilevel"/>
    <w:tmpl w:val="8D8CCF1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13C64E9"/>
    <w:multiLevelType w:val="hybridMultilevel"/>
    <w:tmpl w:val="204C5A2C"/>
    <w:lvl w:ilvl="0" w:tplc="EFD2CAAE">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13DB6438"/>
    <w:multiLevelType w:val="hybridMultilevel"/>
    <w:tmpl w:val="67C2F9AA"/>
    <w:lvl w:ilvl="0" w:tplc="EFD2CAAE">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19B601C7"/>
    <w:multiLevelType w:val="hybridMultilevel"/>
    <w:tmpl w:val="AB30F5A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1DED9CE5"/>
    <w:multiLevelType w:val="hybridMultilevel"/>
    <w:tmpl w:val="B6B056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56D024F"/>
    <w:multiLevelType w:val="hybridMultilevel"/>
    <w:tmpl w:val="7D6E7FDC"/>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B3583A"/>
    <w:multiLevelType w:val="hybridMultilevel"/>
    <w:tmpl w:val="C890CA24"/>
    <w:lvl w:ilvl="0" w:tplc="5B46F0A6">
      <w:start w:val="1"/>
      <w:numFmt w:val="decimal"/>
      <w:lvlText w:val="%1."/>
      <w:lvlJc w:val="left"/>
      <w:pPr>
        <w:ind w:left="1069" w:hanging="360"/>
      </w:pPr>
      <w:rPr>
        <w:rFonts w:asciiTheme="minorHAnsi" w:hAnsiTheme="minorHAnsi" w:cstheme="minorBidi" w:hint="default"/>
        <w:color w:val="auto"/>
      </w:rPr>
    </w:lvl>
    <w:lvl w:ilvl="1" w:tplc="04050019" w:tentative="1">
      <w:start w:val="1"/>
      <w:numFmt w:val="lowerLetter"/>
      <w:lvlText w:val="%2."/>
      <w:lvlJc w:val="left"/>
      <w:pPr>
        <w:ind w:left="1288" w:hanging="360"/>
      </w:pPr>
    </w:lvl>
    <w:lvl w:ilvl="2" w:tplc="0405001B" w:tentative="1">
      <w:start w:val="1"/>
      <w:numFmt w:val="lowerRoman"/>
      <w:lvlText w:val="%3."/>
      <w:lvlJc w:val="right"/>
      <w:pPr>
        <w:ind w:left="2008" w:hanging="180"/>
      </w:pPr>
    </w:lvl>
    <w:lvl w:ilvl="3" w:tplc="0405000F" w:tentative="1">
      <w:start w:val="1"/>
      <w:numFmt w:val="decimal"/>
      <w:lvlText w:val="%4."/>
      <w:lvlJc w:val="left"/>
      <w:pPr>
        <w:ind w:left="2728" w:hanging="360"/>
      </w:pPr>
    </w:lvl>
    <w:lvl w:ilvl="4" w:tplc="04050019" w:tentative="1">
      <w:start w:val="1"/>
      <w:numFmt w:val="lowerLetter"/>
      <w:lvlText w:val="%5."/>
      <w:lvlJc w:val="left"/>
      <w:pPr>
        <w:ind w:left="3448" w:hanging="360"/>
      </w:pPr>
    </w:lvl>
    <w:lvl w:ilvl="5" w:tplc="0405001B" w:tentative="1">
      <w:start w:val="1"/>
      <w:numFmt w:val="lowerRoman"/>
      <w:lvlText w:val="%6."/>
      <w:lvlJc w:val="right"/>
      <w:pPr>
        <w:ind w:left="4168" w:hanging="180"/>
      </w:pPr>
    </w:lvl>
    <w:lvl w:ilvl="6" w:tplc="0405000F" w:tentative="1">
      <w:start w:val="1"/>
      <w:numFmt w:val="decimal"/>
      <w:lvlText w:val="%7."/>
      <w:lvlJc w:val="left"/>
      <w:pPr>
        <w:ind w:left="4888" w:hanging="360"/>
      </w:pPr>
    </w:lvl>
    <w:lvl w:ilvl="7" w:tplc="04050019" w:tentative="1">
      <w:start w:val="1"/>
      <w:numFmt w:val="lowerLetter"/>
      <w:lvlText w:val="%8."/>
      <w:lvlJc w:val="left"/>
      <w:pPr>
        <w:ind w:left="5608" w:hanging="360"/>
      </w:pPr>
    </w:lvl>
    <w:lvl w:ilvl="8" w:tplc="0405001B" w:tentative="1">
      <w:start w:val="1"/>
      <w:numFmt w:val="lowerRoman"/>
      <w:lvlText w:val="%9."/>
      <w:lvlJc w:val="right"/>
      <w:pPr>
        <w:ind w:left="6328" w:hanging="180"/>
      </w:pPr>
    </w:lvl>
  </w:abstractNum>
  <w:abstractNum w:abstractNumId="16" w15:restartNumberingAfterBreak="0">
    <w:nsid w:val="27163374"/>
    <w:multiLevelType w:val="hybridMultilevel"/>
    <w:tmpl w:val="46F0ECCC"/>
    <w:lvl w:ilvl="0" w:tplc="EFD2CAAE">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28B56B73"/>
    <w:multiLevelType w:val="hybridMultilevel"/>
    <w:tmpl w:val="7DE437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97065DE"/>
    <w:multiLevelType w:val="hybridMultilevel"/>
    <w:tmpl w:val="E664293C"/>
    <w:lvl w:ilvl="0" w:tplc="5B46F0A6">
      <w:start w:val="1"/>
      <w:numFmt w:val="decimal"/>
      <w:lvlText w:val="%1."/>
      <w:lvlJc w:val="left"/>
      <w:pPr>
        <w:ind w:left="643" w:hanging="360"/>
      </w:pPr>
      <w:rPr>
        <w:rFonts w:asciiTheme="minorHAnsi" w:hAnsiTheme="minorHAnsi" w:cstheme="minorBidi" w:hint="default"/>
        <w:color w:val="auto"/>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9" w15:restartNumberingAfterBreak="0">
    <w:nsid w:val="2D6D7D02"/>
    <w:multiLevelType w:val="hybridMultilevel"/>
    <w:tmpl w:val="4F364D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DFA790E"/>
    <w:multiLevelType w:val="hybridMultilevel"/>
    <w:tmpl w:val="E7FEAFAA"/>
    <w:lvl w:ilvl="0" w:tplc="1E6695A2">
      <w:start w:val="1"/>
      <w:numFmt w:val="decimal"/>
      <w:lvlText w:val="%1."/>
      <w:lvlJc w:val="left"/>
      <w:pPr>
        <w:ind w:left="720" w:hanging="360"/>
      </w:pPr>
      <w:rPr>
        <w:rFonts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20A76C1"/>
    <w:multiLevelType w:val="hybridMultilevel"/>
    <w:tmpl w:val="445C0E68"/>
    <w:lvl w:ilvl="0" w:tplc="5B46F0A6">
      <w:start w:val="1"/>
      <w:numFmt w:val="decimal"/>
      <w:lvlText w:val="%1."/>
      <w:lvlJc w:val="left"/>
      <w:pPr>
        <w:ind w:left="360" w:hanging="360"/>
      </w:pPr>
      <w:rPr>
        <w:rFonts w:asciiTheme="minorHAnsi" w:hAnsiTheme="minorHAnsi" w:cstheme="minorBidi" w:hint="default"/>
        <w:color w:val="auto"/>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22" w15:restartNumberingAfterBreak="0">
    <w:nsid w:val="322C08B1"/>
    <w:multiLevelType w:val="hybridMultilevel"/>
    <w:tmpl w:val="5A68B9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2BB6EE6"/>
    <w:multiLevelType w:val="hybridMultilevel"/>
    <w:tmpl w:val="9D16F7AA"/>
    <w:lvl w:ilvl="0" w:tplc="EFD2CAAE">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3419644E"/>
    <w:multiLevelType w:val="hybridMultilevel"/>
    <w:tmpl w:val="F3FC93B8"/>
    <w:lvl w:ilvl="0" w:tplc="F6FCB40E">
      <w:numFmt w:val="bullet"/>
      <w:lvlText w:val="•"/>
      <w:lvlJc w:val="left"/>
      <w:pPr>
        <w:ind w:left="720" w:hanging="360"/>
      </w:pPr>
      <w:rPr>
        <w:rFonts w:ascii="Cambria" w:eastAsiaTheme="minorHAnsi" w:hAnsi="Cambria" w:cs="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8CF0F49"/>
    <w:multiLevelType w:val="hybridMultilevel"/>
    <w:tmpl w:val="C48A8C12"/>
    <w:lvl w:ilvl="0" w:tplc="1E6695A2">
      <w:start w:val="1"/>
      <w:numFmt w:val="decimal"/>
      <w:lvlText w:val="%1."/>
      <w:lvlJc w:val="left"/>
      <w:pPr>
        <w:ind w:left="720" w:hanging="360"/>
      </w:pPr>
      <w:rPr>
        <w:rFonts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D2570E5"/>
    <w:multiLevelType w:val="hybridMultilevel"/>
    <w:tmpl w:val="C41271EE"/>
    <w:lvl w:ilvl="0" w:tplc="EFD2CAAE">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3E283AB2"/>
    <w:multiLevelType w:val="hybridMultilevel"/>
    <w:tmpl w:val="075211F6"/>
    <w:lvl w:ilvl="0" w:tplc="5B46F0A6">
      <w:start w:val="1"/>
      <w:numFmt w:val="decimal"/>
      <w:lvlText w:val="%1."/>
      <w:lvlJc w:val="left"/>
      <w:pPr>
        <w:ind w:left="360" w:hanging="360"/>
      </w:pPr>
      <w:rPr>
        <w:rFonts w:asciiTheme="minorHAnsi" w:hAnsiTheme="minorHAnsi" w:cstheme="minorBidi" w:hint="default"/>
        <w:color w:val="auto"/>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28" w15:restartNumberingAfterBreak="0">
    <w:nsid w:val="3E285591"/>
    <w:multiLevelType w:val="hybridMultilevel"/>
    <w:tmpl w:val="B0A2C10E"/>
    <w:lvl w:ilvl="0" w:tplc="EFD2CAA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E7376DC"/>
    <w:multiLevelType w:val="hybridMultilevel"/>
    <w:tmpl w:val="09429222"/>
    <w:lvl w:ilvl="0" w:tplc="EFD2CAA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9A86BF9"/>
    <w:multiLevelType w:val="hybridMultilevel"/>
    <w:tmpl w:val="5D8AF98C"/>
    <w:lvl w:ilvl="0" w:tplc="770A3E10">
      <w:start w:val="2"/>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1" w15:restartNumberingAfterBreak="0">
    <w:nsid w:val="4A490D7C"/>
    <w:multiLevelType w:val="hybridMultilevel"/>
    <w:tmpl w:val="F6F60388"/>
    <w:lvl w:ilvl="0" w:tplc="AE1AB2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D475BAF"/>
    <w:multiLevelType w:val="hybridMultilevel"/>
    <w:tmpl w:val="3B50DB4E"/>
    <w:lvl w:ilvl="0" w:tplc="EFD2CAAE">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4E3166CC"/>
    <w:multiLevelType w:val="hybridMultilevel"/>
    <w:tmpl w:val="BA6EB542"/>
    <w:lvl w:ilvl="0" w:tplc="EFD2CAAE">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604B6D01"/>
    <w:multiLevelType w:val="hybridMultilevel"/>
    <w:tmpl w:val="24484444"/>
    <w:lvl w:ilvl="0" w:tplc="EFD2CAA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2954B1D"/>
    <w:multiLevelType w:val="hybridMultilevel"/>
    <w:tmpl w:val="AF5E51D8"/>
    <w:lvl w:ilvl="0" w:tplc="AE1AB2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7C94999"/>
    <w:multiLevelType w:val="hybridMultilevel"/>
    <w:tmpl w:val="3FCE0E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B47CE5"/>
    <w:multiLevelType w:val="hybridMultilevel"/>
    <w:tmpl w:val="8BF80F74"/>
    <w:lvl w:ilvl="0" w:tplc="4BE2B5B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46B07FB"/>
    <w:multiLevelType w:val="hybridMultilevel"/>
    <w:tmpl w:val="0F547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50211EA"/>
    <w:multiLevelType w:val="hybridMultilevel"/>
    <w:tmpl w:val="F37C9D18"/>
    <w:lvl w:ilvl="0" w:tplc="EFD2CAA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61129A6"/>
    <w:multiLevelType w:val="hybridMultilevel"/>
    <w:tmpl w:val="0B448306"/>
    <w:lvl w:ilvl="0" w:tplc="5B46F0A6">
      <w:start w:val="1"/>
      <w:numFmt w:val="decimal"/>
      <w:lvlText w:val="%1."/>
      <w:lvlJc w:val="left"/>
      <w:pPr>
        <w:ind w:left="1080" w:hanging="360"/>
      </w:pPr>
      <w:rPr>
        <w:rFonts w:asciiTheme="minorHAnsi" w:hAnsiTheme="minorHAnsi" w:cstheme="minorBid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84046C"/>
    <w:multiLevelType w:val="hybridMultilevel"/>
    <w:tmpl w:val="08B8E0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D94594D"/>
    <w:multiLevelType w:val="hybridMultilevel"/>
    <w:tmpl w:val="F9B64582"/>
    <w:lvl w:ilvl="0" w:tplc="2F82F7C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30"/>
  </w:num>
  <w:num w:numId="3">
    <w:abstractNumId w:val="36"/>
  </w:num>
  <w:num w:numId="4">
    <w:abstractNumId w:val="14"/>
  </w:num>
  <w:num w:numId="5">
    <w:abstractNumId w:val="24"/>
  </w:num>
  <w:num w:numId="6">
    <w:abstractNumId w:val="19"/>
  </w:num>
  <w:num w:numId="7">
    <w:abstractNumId w:val="38"/>
  </w:num>
  <w:num w:numId="8">
    <w:abstractNumId w:val="4"/>
  </w:num>
  <w:num w:numId="9">
    <w:abstractNumId w:val="13"/>
  </w:num>
  <w:num w:numId="10">
    <w:abstractNumId w:val="22"/>
  </w:num>
  <w:num w:numId="11">
    <w:abstractNumId w:val="6"/>
  </w:num>
  <w:num w:numId="12">
    <w:abstractNumId w:val="35"/>
  </w:num>
  <w:num w:numId="13">
    <w:abstractNumId w:val="31"/>
  </w:num>
  <w:num w:numId="14">
    <w:abstractNumId w:val="7"/>
  </w:num>
  <w:num w:numId="15">
    <w:abstractNumId w:val="42"/>
  </w:num>
  <w:num w:numId="16">
    <w:abstractNumId w:val="1"/>
  </w:num>
  <w:num w:numId="17">
    <w:abstractNumId w:val="37"/>
  </w:num>
  <w:num w:numId="18">
    <w:abstractNumId w:val="29"/>
  </w:num>
  <w:num w:numId="19">
    <w:abstractNumId w:val="0"/>
  </w:num>
  <w:num w:numId="20">
    <w:abstractNumId w:val="2"/>
  </w:num>
  <w:num w:numId="21">
    <w:abstractNumId w:val="9"/>
  </w:num>
  <w:num w:numId="22">
    <w:abstractNumId w:val="41"/>
  </w:num>
  <w:num w:numId="23">
    <w:abstractNumId w:val="25"/>
  </w:num>
  <w:num w:numId="24">
    <w:abstractNumId w:val="20"/>
  </w:num>
  <w:num w:numId="25">
    <w:abstractNumId w:val="5"/>
  </w:num>
  <w:num w:numId="26">
    <w:abstractNumId w:val="3"/>
  </w:num>
  <w:num w:numId="27">
    <w:abstractNumId w:val="28"/>
  </w:num>
  <w:num w:numId="28">
    <w:abstractNumId w:val="34"/>
  </w:num>
  <w:num w:numId="29">
    <w:abstractNumId w:val="18"/>
  </w:num>
  <w:num w:numId="30">
    <w:abstractNumId w:val="33"/>
  </w:num>
  <w:num w:numId="31">
    <w:abstractNumId w:val="21"/>
  </w:num>
  <w:num w:numId="32">
    <w:abstractNumId w:val="12"/>
  </w:num>
  <w:num w:numId="33">
    <w:abstractNumId w:val="8"/>
  </w:num>
  <w:num w:numId="34">
    <w:abstractNumId w:val="27"/>
  </w:num>
  <w:num w:numId="35">
    <w:abstractNumId w:val="16"/>
  </w:num>
  <w:num w:numId="36">
    <w:abstractNumId w:val="10"/>
  </w:num>
  <w:num w:numId="37">
    <w:abstractNumId w:val="39"/>
  </w:num>
  <w:num w:numId="38">
    <w:abstractNumId w:val="26"/>
  </w:num>
  <w:num w:numId="39">
    <w:abstractNumId w:val="32"/>
  </w:num>
  <w:num w:numId="40">
    <w:abstractNumId w:val="11"/>
  </w:num>
  <w:num w:numId="41">
    <w:abstractNumId w:val="40"/>
  </w:num>
  <w:num w:numId="42">
    <w:abstractNumId w:val="15"/>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70F"/>
    <w:rsid w:val="000036D5"/>
    <w:rsid w:val="000059FC"/>
    <w:rsid w:val="00005F8C"/>
    <w:rsid w:val="00006642"/>
    <w:rsid w:val="00023C3F"/>
    <w:rsid w:val="0003137D"/>
    <w:rsid w:val="00097675"/>
    <w:rsid w:val="000A3AC2"/>
    <w:rsid w:val="000C6166"/>
    <w:rsid w:val="000D25EF"/>
    <w:rsid w:val="00103A81"/>
    <w:rsid w:val="00115926"/>
    <w:rsid w:val="00126231"/>
    <w:rsid w:val="00144FEB"/>
    <w:rsid w:val="0017399A"/>
    <w:rsid w:val="001923C1"/>
    <w:rsid w:val="001B39D0"/>
    <w:rsid w:val="001B6ECD"/>
    <w:rsid w:val="001C02BC"/>
    <w:rsid w:val="001F1840"/>
    <w:rsid w:val="00224459"/>
    <w:rsid w:val="0023715B"/>
    <w:rsid w:val="002613EA"/>
    <w:rsid w:val="00275400"/>
    <w:rsid w:val="00287745"/>
    <w:rsid w:val="00294A46"/>
    <w:rsid w:val="002B225D"/>
    <w:rsid w:val="002C5B89"/>
    <w:rsid w:val="002E1ECA"/>
    <w:rsid w:val="002F21BE"/>
    <w:rsid w:val="002F5811"/>
    <w:rsid w:val="00307BC1"/>
    <w:rsid w:val="003206E0"/>
    <w:rsid w:val="00340F1D"/>
    <w:rsid w:val="0035516F"/>
    <w:rsid w:val="003D4328"/>
    <w:rsid w:val="003D709A"/>
    <w:rsid w:val="004129C7"/>
    <w:rsid w:val="00415969"/>
    <w:rsid w:val="0044320D"/>
    <w:rsid w:val="004540B9"/>
    <w:rsid w:val="004C6AED"/>
    <w:rsid w:val="004D1883"/>
    <w:rsid w:val="00525099"/>
    <w:rsid w:val="00531DCA"/>
    <w:rsid w:val="00557E9F"/>
    <w:rsid w:val="00563DF1"/>
    <w:rsid w:val="0057770F"/>
    <w:rsid w:val="005A37C6"/>
    <w:rsid w:val="005A485D"/>
    <w:rsid w:val="006037FE"/>
    <w:rsid w:val="00606286"/>
    <w:rsid w:val="00612B2F"/>
    <w:rsid w:val="00614A99"/>
    <w:rsid w:val="00647EBB"/>
    <w:rsid w:val="006B2816"/>
    <w:rsid w:val="006B5E9F"/>
    <w:rsid w:val="006E0536"/>
    <w:rsid w:val="0074217B"/>
    <w:rsid w:val="00767B2D"/>
    <w:rsid w:val="00774823"/>
    <w:rsid w:val="007C2781"/>
    <w:rsid w:val="007D2E24"/>
    <w:rsid w:val="0080292A"/>
    <w:rsid w:val="0083332B"/>
    <w:rsid w:val="00850853"/>
    <w:rsid w:val="00894BEB"/>
    <w:rsid w:val="008B6889"/>
    <w:rsid w:val="008F06E5"/>
    <w:rsid w:val="00970A1B"/>
    <w:rsid w:val="009754C2"/>
    <w:rsid w:val="0099735A"/>
    <w:rsid w:val="009D66C6"/>
    <w:rsid w:val="00A52156"/>
    <w:rsid w:val="00A863FE"/>
    <w:rsid w:val="00A9566B"/>
    <w:rsid w:val="00AA343B"/>
    <w:rsid w:val="00AB60CA"/>
    <w:rsid w:val="00AF2878"/>
    <w:rsid w:val="00B61AEF"/>
    <w:rsid w:val="00BB35D3"/>
    <w:rsid w:val="00BF0F25"/>
    <w:rsid w:val="00C10D9F"/>
    <w:rsid w:val="00C73306"/>
    <w:rsid w:val="00CA4F6F"/>
    <w:rsid w:val="00CC39C8"/>
    <w:rsid w:val="00CD2C4A"/>
    <w:rsid w:val="00CF1BA8"/>
    <w:rsid w:val="00D14577"/>
    <w:rsid w:val="00D66035"/>
    <w:rsid w:val="00D70187"/>
    <w:rsid w:val="00D704E8"/>
    <w:rsid w:val="00D73444"/>
    <w:rsid w:val="00DA0DE1"/>
    <w:rsid w:val="00E143FA"/>
    <w:rsid w:val="00E656CA"/>
    <w:rsid w:val="00E7062C"/>
    <w:rsid w:val="00E96464"/>
    <w:rsid w:val="00EB3EF0"/>
    <w:rsid w:val="00F148C0"/>
    <w:rsid w:val="00F30322"/>
    <w:rsid w:val="00F7228A"/>
    <w:rsid w:val="00FC3C0C"/>
    <w:rsid w:val="00FE3C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75FC7"/>
  <w15:chartTrackingRefBased/>
  <w15:docId w15:val="{111FCB2E-4DBB-4516-BEAB-79E05E5F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ubheading-category1">
    <w:name w:val="subheading-category1"/>
    <w:basedOn w:val="Standardnpsmoodstavce"/>
    <w:rsid w:val="0057770F"/>
    <w:rPr>
      <w:caps/>
      <w:sz w:val="22"/>
      <w:szCs w:val="22"/>
    </w:rPr>
  </w:style>
  <w:style w:type="paragraph" w:styleId="Odstavecseseznamem">
    <w:name w:val="List Paragraph"/>
    <w:basedOn w:val="Normln"/>
    <w:uiPriority w:val="34"/>
    <w:qFormat/>
    <w:rsid w:val="0057770F"/>
    <w:pPr>
      <w:ind w:left="720"/>
      <w:contextualSpacing/>
    </w:pPr>
  </w:style>
  <w:style w:type="character" w:styleId="Siln">
    <w:name w:val="Strong"/>
    <w:basedOn w:val="Standardnpsmoodstavce"/>
    <w:uiPriority w:val="22"/>
    <w:qFormat/>
    <w:rsid w:val="0057770F"/>
    <w:rPr>
      <w:b/>
      <w:bCs/>
    </w:rPr>
  </w:style>
  <w:style w:type="character" w:styleId="Hypertextovodkaz">
    <w:name w:val="Hyperlink"/>
    <w:basedOn w:val="Standardnpsmoodstavce"/>
    <w:uiPriority w:val="99"/>
    <w:unhideWhenUsed/>
    <w:rsid w:val="00894BEB"/>
    <w:rPr>
      <w:color w:val="0563C1" w:themeColor="hyperlink"/>
      <w:u w:val="single"/>
    </w:rPr>
  </w:style>
  <w:style w:type="paragraph" w:customStyle="1" w:styleId="Default">
    <w:name w:val="Default"/>
    <w:rsid w:val="00FE3CFC"/>
    <w:pPr>
      <w:autoSpaceDE w:val="0"/>
      <w:autoSpaceDN w:val="0"/>
      <w:adjustRightInd w:val="0"/>
      <w:spacing w:after="0" w:line="240" w:lineRule="auto"/>
    </w:pPr>
    <w:rPr>
      <w:rFonts w:ascii="Cambria" w:hAnsi="Cambria" w:cs="Cambria"/>
      <w:color w:val="000000"/>
      <w:sz w:val="24"/>
      <w:szCs w:val="24"/>
    </w:rPr>
  </w:style>
  <w:style w:type="character" w:styleId="Sledovanodkaz">
    <w:name w:val="FollowedHyperlink"/>
    <w:basedOn w:val="Standardnpsmoodstavce"/>
    <w:uiPriority w:val="99"/>
    <w:semiHidden/>
    <w:unhideWhenUsed/>
    <w:rsid w:val="00340F1D"/>
    <w:rPr>
      <w:color w:val="954F72" w:themeColor="followedHyperlink"/>
      <w:u w:val="single"/>
    </w:rPr>
  </w:style>
  <w:style w:type="character" w:styleId="Nevyeenzmnka">
    <w:name w:val="Unresolved Mention"/>
    <w:basedOn w:val="Standardnpsmoodstavce"/>
    <w:uiPriority w:val="99"/>
    <w:semiHidden/>
    <w:unhideWhenUsed/>
    <w:rsid w:val="00614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430185">
      <w:bodyDiv w:val="1"/>
      <w:marLeft w:val="0"/>
      <w:marRight w:val="0"/>
      <w:marTop w:val="0"/>
      <w:marBottom w:val="0"/>
      <w:divBdr>
        <w:top w:val="none" w:sz="0" w:space="0" w:color="auto"/>
        <w:left w:val="none" w:sz="0" w:space="0" w:color="auto"/>
        <w:bottom w:val="none" w:sz="0" w:space="0" w:color="auto"/>
        <w:right w:val="none" w:sz="0" w:space="0" w:color="auto"/>
      </w:divBdr>
    </w:div>
    <w:div w:id="208806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ondrouskova@vutbr.cz" TargetMode="External"/><Relationship Id="rId13" Type="http://schemas.openxmlformats.org/officeDocument/2006/relationships/hyperlink" Target="https://www.tacr.cz/wp-content/uploads/documents/2023/02/06/1675692068_V%C3%BDzkumn%C3%A1%20data%20a%20otev%C5%99en%C3%BD%20p%C5%99%C3%ADstup%20k%20v%C3%BDstup%C5%AFm%20-%20v%C3%BDsledk%C5%AFm.pdf" TargetMode="External"/><Relationship Id="rId3" Type="http://schemas.openxmlformats.org/officeDocument/2006/relationships/settings" Target="settings.xml"/><Relationship Id="rId7" Type="http://schemas.openxmlformats.org/officeDocument/2006/relationships/hyperlink" Target="mailto:horka@vutbr.cz" TargetMode="External"/><Relationship Id="rId12" Type="http://schemas.openxmlformats.org/officeDocument/2006/relationships/hyperlink" Target="https://ista.tacr.cz/ISTA/action/Dashboard/ExternalNew/?actionId=6798826730857997&amp;ts=1651134055512&amp;hash=/PRnciOWYPGy0ZuRTsNaKYXfoMOiF9jN8xXBwm4AbZU=&amp;nbl=true&amp;uselastresult=true&amp;_browserSessionID=&amp;la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kovam@vutbr.cz" TargetMode="External"/><Relationship Id="rId11" Type="http://schemas.openxmlformats.org/officeDocument/2006/relationships/hyperlink" Target="https://www.tacr.cz/soutez/nezarazeno/druha-verejna-soutez-dilci-cil-2-zacinajici-vyzkumnici-vyzkumnice-a-vyrovnavani-prilezitosti-v-projektech-aplikovaneho-vyzkumu/" TargetMode="External"/><Relationship Id="rId5" Type="http://schemas.openxmlformats.org/officeDocument/2006/relationships/hyperlink" Target="mailto:pilcerova@vutbr.cz" TargetMode="External"/><Relationship Id="rId15" Type="http://schemas.openxmlformats.org/officeDocument/2006/relationships/theme" Target="theme/theme1.xml"/><Relationship Id="rId10" Type="http://schemas.openxmlformats.org/officeDocument/2006/relationships/hyperlink" Target="mailto:saskova@vutbr.cz" TargetMode="External"/><Relationship Id="rId4" Type="http://schemas.openxmlformats.org/officeDocument/2006/relationships/webSettings" Target="webSettings.xml"/><Relationship Id="rId9" Type="http://schemas.openxmlformats.org/officeDocument/2006/relationships/hyperlink" Target="mailto:sepsiova@vutbr.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1980</Words>
  <Characters>11688</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Legátová Martina</dc:creator>
  <cp:keywords/>
  <dc:description/>
  <cp:lastModifiedBy>Vavrečková Eva (233793)</cp:lastModifiedBy>
  <cp:revision>2</cp:revision>
  <dcterms:created xsi:type="dcterms:W3CDTF">2023-02-10T07:58:00Z</dcterms:created>
  <dcterms:modified xsi:type="dcterms:W3CDTF">2023-02-10T07:58:00Z</dcterms:modified>
</cp:coreProperties>
</file>