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CA" w:rsidRPr="0064710B" w:rsidRDefault="005D3618" w:rsidP="0074217B">
      <w:pPr>
        <w:ind w:left="142"/>
        <w:jc w:val="both"/>
        <w:rPr>
          <w:rFonts w:cstheme="minorHAnsi"/>
          <w:b/>
          <w:color w:val="2F5496" w:themeColor="accent5" w:themeShade="BF"/>
          <w:sz w:val="36"/>
          <w:szCs w:val="36"/>
        </w:rPr>
      </w:pPr>
      <w:bookmarkStart w:id="0" w:name="_GoBack"/>
      <w:bookmarkEnd w:id="0"/>
      <w:r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>9</w:t>
      </w:r>
      <w:r w:rsidR="00531DCA"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 xml:space="preserve">veřejná </w:t>
      </w:r>
      <w:proofErr w:type="gramStart"/>
      <w:r w:rsidR="0057770F"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 xml:space="preserve">soutěž </w:t>
      </w:r>
      <w:r w:rsidR="00AB60CA"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>- Program</w:t>
      </w:r>
      <w:proofErr w:type="gramEnd"/>
      <w:r w:rsidR="00AB60CA" w:rsidRPr="0064710B">
        <w:rPr>
          <w:rStyle w:val="subheading-category1"/>
          <w:rFonts w:cstheme="minorHAnsi"/>
          <w:b/>
          <w:caps w:val="0"/>
          <w:color w:val="2F5496" w:themeColor="accent5" w:themeShade="BF"/>
          <w:sz w:val="36"/>
          <w:szCs w:val="36"/>
        </w:rPr>
        <w:t xml:space="preserve"> průmyslového výzkumu a experimentálního vývoje TREND</w:t>
      </w:r>
    </w:p>
    <w:p w:rsidR="0057770F" w:rsidRPr="0064710B" w:rsidRDefault="0057770F" w:rsidP="0057770F">
      <w:pPr>
        <w:rPr>
          <w:rFonts w:cstheme="minorHAnsi"/>
          <w:i/>
          <w:color w:val="2E74B5" w:themeColor="accent1" w:themeShade="BF"/>
        </w:rPr>
      </w:pPr>
    </w:p>
    <w:p w:rsidR="0057770F" w:rsidRPr="0064710B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:rsidR="0057770F" w:rsidRPr="0064710B" w:rsidRDefault="0057770F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Soutěžní lhůta začíná</w:t>
      </w:r>
      <w:r w:rsidR="00AB60CA" w:rsidRPr="0064710B">
        <w:rPr>
          <w:rFonts w:cstheme="minorHAnsi"/>
        </w:rPr>
        <w:t xml:space="preserve"> </w:t>
      </w:r>
      <w:r w:rsidR="005D3618" w:rsidRPr="0064710B">
        <w:rPr>
          <w:rFonts w:cstheme="minorHAnsi"/>
          <w:b/>
        </w:rPr>
        <w:t>24</w:t>
      </w:r>
      <w:r w:rsidR="00647EBB" w:rsidRPr="0064710B">
        <w:rPr>
          <w:rFonts w:cstheme="minorHAnsi"/>
          <w:b/>
        </w:rPr>
        <w:t xml:space="preserve">. </w:t>
      </w:r>
      <w:r w:rsidR="00E96464" w:rsidRPr="0064710B">
        <w:rPr>
          <w:rFonts w:cstheme="minorHAnsi"/>
          <w:b/>
        </w:rPr>
        <w:t>1</w:t>
      </w:r>
      <w:r w:rsidR="005D3618" w:rsidRPr="0064710B">
        <w:rPr>
          <w:rFonts w:cstheme="minorHAnsi"/>
          <w:b/>
        </w:rPr>
        <w:t>1</w:t>
      </w:r>
      <w:r w:rsidR="00647EBB" w:rsidRPr="0064710B">
        <w:rPr>
          <w:rFonts w:cstheme="minorHAnsi"/>
          <w:b/>
        </w:rPr>
        <w:t>. 2022</w:t>
      </w:r>
    </w:p>
    <w:p w:rsidR="0057770F" w:rsidRPr="0064710B" w:rsidRDefault="0057770F" w:rsidP="005A485D">
      <w:pPr>
        <w:spacing w:line="240" w:lineRule="auto"/>
        <w:ind w:left="2835" w:hanging="2835"/>
        <w:jc w:val="both"/>
        <w:rPr>
          <w:rFonts w:cstheme="minorHAnsi"/>
          <w:b/>
        </w:rPr>
      </w:pPr>
      <w:r w:rsidRPr="0064710B">
        <w:rPr>
          <w:rFonts w:cstheme="minorHAnsi"/>
        </w:rPr>
        <w:t xml:space="preserve">Soutěžní lhůta končí: </w:t>
      </w:r>
      <w:r w:rsidR="005D3618" w:rsidRPr="0064710B">
        <w:rPr>
          <w:rFonts w:cstheme="minorHAnsi"/>
          <w:b/>
        </w:rPr>
        <w:t>11</w:t>
      </w:r>
      <w:r w:rsidR="00647EBB" w:rsidRPr="0064710B">
        <w:rPr>
          <w:rFonts w:cstheme="minorHAnsi"/>
          <w:b/>
        </w:rPr>
        <w:t xml:space="preserve">. </w:t>
      </w:r>
      <w:r w:rsidR="00E96464" w:rsidRPr="0064710B">
        <w:rPr>
          <w:rFonts w:cstheme="minorHAnsi"/>
          <w:b/>
        </w:rPr>
        <w:t>1</w:t>
      </w:r>
      <w:r w:rsidR="00647EBB" w:rsidRPr="0064710B">
        <w:rPr>
          <w:rFonts w:cstheme="minorHAnsi"/>
          <w:b/>
        </w:rPr>
        <w:t>. 202</w:t>
      </w:r>
      <w:r w:rsidR="005D3618" w:rsidRPr="0064710B">
        <w:rPr>
          <w:rFonts w:cstheme="minorHAnsi"/>
          <w:b/>
        </w:rPr>
        <w:t>3</w:t>
      </w:r>
      <w:r w:rsidRPr="0064710B">
        <w:rPr>
          <w:rFonts w:cstheme="minorHAnsi"/>
        </w:rPr>
        <w:t xml:space="preserve"> </w:t>
      </w:r>
      <w:r w:rsidRPr="0064710B">
        <w:rPr>
          <w:rFonts w:cstheme="minorHAnsi"/>
          <w:b/>
        </w:rPr>
        <w:t>do 1</w:t>
      </w:r>
      <w:r w:rsidR="00CC39C8" w:rsidRPr="0064710B">
        <w:rPr>
          <w:rFonts w:cstheme="minorHAnsi"/>
          <w:b/>
        </w:rPr>
        <w:t>6</w:t>
      </w:r>
      <w:r w:rsidRPr="0064710B">
        <w:rPr>
          <w:rFonts w:cstheme="minorHAnsi"/>
          <w:b/>
        </w:rPr>
        <w:t>.</w:t>
      </w:r>
      <w:r w:rsidR="00D704E8" w:rsidRPr="0064710B">
        <w:rPr>
          <w:rFonts w:cstheme="minorHAnsi"/>
          <w:b/>
        </w:rPr>
        <w:t>29</w:t>
      </w:r>
      <w:r w:rsidRPr="0064710B">
        <w:rPr>
          <w:rFonts w:cstheme="minorHAnsi"/>
          <w:b/>
        </w:rPr>
        <w:t xml:space="preserve"> pro podání </w:t>
      </w:r>
      <w:proofErr w:type="gramStart"/>
      <w:r w:rsidRPr="0064710B">
        <w:rPr>
          <w:rFonts w:cstheme="minorHAnsi"/>
          <w:b/>
        </w:rPr>
        <w:t xml:space="preserve">projektu; </w:t>
      </w:r>
      <w:r w:rsidR="001923C1" w:rsidRPr="0064710B">
        <w:rPr>
          <w:rFonts w:cstheme="minorHAnsi"/>
          <w:b/>
        </w:rPr>
        <w:t xml:space="preserve"> do</w:t>
      </w:r>
      <w:proofErr w:type="gramEnd"/>
      <w:r w:rsidR="001923C1" w:rsidRPr="0064710B">
        <w:rPr>
          <w:rFonts w:cstheme="minorHAnsi"/>
          <w:b/>
        </w:rPr>
        <w:t xml:space="preserve"> 23.59 pro zaslání Potvrzení podání elektronického návrhu a potvrzení způsobilosti uchazeče datovou schránkou (ID datové schránky TA ČR: afth9xp.).  V náležitostech zprávy v datovém poli „Věc“ musí být uvedeno </w:t>
      </w:r>
      <w:r w:rsidR="006B5E9F" w:rsidRPr="0064710B">
        <w:rPr>
          <w:rFonts w:cstheme="minorHAnsi"/>
          <w:b/>
        </w:rPr>
        <w:t>„</w:t>
      </w:r>
      <w:r w:rsidR="000036D5" w:rsidRPr="0064710B">
        <w:rPr>
          <w:rFonts w:cstheme="minorHAnsi"/>
          <w:b/>
        </w:rPr>
        <w:t>Program TREND – Potvrzení podání“</w:t>
      </w:r>
      <w:r w:rsidR="006B5E9F" w:rsidRPr="0064710B">
        <w:rPr>
          <w:rFonts w:cstheme="minorHAnsi"/>
          <w:b/>
        </w:rPr>
        <w:t>.</w:t>
      </w:r>
      <w:r w:rsidR="001923C1" w:rsidRPr="0064710B">
        <w:rPr>
          <w:rFonts w:cstheme="minorHAnsi"/>
          <w:b/>
        </w:rPr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64710B">
        <w:rPr>
          <w:rFonts w:cstheme="minorHAnsi"/>
          <w:b/>
        </w:rPr>
        <w:t>, či uchazeče bez datové schránky</w:t>
      </w:r>
      <w:r w:rsidR="001923C1" w:rsidRPr="0064710B">
        <w:rPr>
          <w:rFonts w:cstheme="minorHAnsi"/>
          <w:b/>
        </w:rPr>
        <w:t xml:space="preserve"> doloží ČP v listinné podobě.</w:t>
      </w:r>
    </w:p>
    <w:p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Vyhlášení výsledků soutěže:</w:t>
      </w:r>
      <w:r w:rsidRPr="0064710B">
        <w:rPr>
          <w:rFonts w:cstheme="minorHAnsi"/>
          <w:b/>
        </w:rPr>
        <w:t xml:space="preserve"> </w:t>
      </w:r>
      <w:r w:rsidR="0030289D" w:rsidRPr="0064710B">
        <w:rPr>
          <w:rFonts w:cstheme="minorHAnsi"/>
          <w:b/>
        </w:rPr>
        <w:t>30. 6.</w:t>
      </w:r>
      <w:r w:rsidR="00E96464" w:rsidRPr="0064710B">
        <w:rPr>
          <w:rFonts w:cstheme="minorHAnsi"/>
          <w:b/>
        </w:rPr>
        <w:t xml:space="preserve"> </w:t>
      </w:r>
      <w:r w:rsidR="00647EBB" w:rsidRPr="0064710B">
        <w:rPr>
          <w:rFonts w:cstheme="minorHAnsi"/>
          <w:b/>
        </w:rPr>
        <w:t>202</w:t>
      </w:r>
      <w:r w:rsidR="00E96464" w:rsidRPr="0064710B">
        <w:rPr>
          <w:rFonts w:cstheme="minorHAnsi"/>
          <w:b/>
        </w:rPr>
        <w:t>3</w:t>
      </w:r>
    </w:p>
    <w:p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Zahájení řešení projektu:</w:t>
      </w:r>
      <w:r w:rsidRPr="0064710B">
        <w:rPr>
          <w:rFonts w:cstheme="minorHAnsi"/>
          <w:b/>
        </w:rPr>
        <w:t xml:space="preserve"> 1. </w:t>
      </w:r>
      <w:r w:rsidR="00E96464" w:rsidRPr="0064710B">
        <w:rPr>
          <w:rFonts w:cstheme="minorHAnsi"/>
          <w:b/>
        </w:rPr>
        <w:t>6</w:t>
      </w:r>
      <w:r w:rsidRPr="0064710B">
        <w:rPr>
          <w:rFonts w:cstheme="minorHAnsi"/>
          <w:b/>
        </w:rPr>
        <w:t xml:space="preserve">. – </w:t>
      </w:r>
      <w:r w:rsidR="00614A99" w:rsidRPr="0064710B">
        <w:rPr>
          <w:rFonts w:cstheme="minorHAnsi"/>
          <w:b/>
        </w:rPr>
        <w:t>1.</w:t>
      </w:r>
      <w:r w:rsidR="00E96464" w:rsidRPr="0064710B">
        <w:rPr>
          <w:rFonts w:cstheme="minorHAnsi"/>
          <w:b/>
        </w:rPr>
        <w:t>8</w:t>
      </w:r>
      <w:r w:rsidR="00614A99" w:rsidRPr="0064710B">
        <w:rPr>
          <w:rFonts w:cstheme="minorHAnsi"/>
          <w:b/>
        </w:rPr>
        <w:t>.</w:t>
      </w:r>
      <w:r w:rsidRPr="0064710B">
        <w:rPr>
          <w:rFonts w:cstheme="minorHAnsi"/>
          <w:b/>
        </w:rPr>
        <w:t xml:space="preserve"> 202</w:t>
      </w:r>
      <w:r w:rsidR="00647EBB" w:rsidRPr="0064710B">
        <w:rPr>
          <w:rFonts w:cstheme="minorHAnsi"/>
          <w:b/>
        </w:rPr>
        <w:t>3</w:t>
      </w:r>
    </w:p>
    <w:p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Nejzazší termín ukončení řešení projektu:</w:t>
      </w:r>
      <w:r w:rsidR="0003137D" w:rsidRPr="0064710B">
        <w:rPr>
          <w:rFonts w:cstheme="minorHAnsi"/>
        </w:rPr>
        <w:t xml:space="preserve"> </w:t>
      </w:r>
      <w:r w:rsidR="005D3618" w:rsidRPr="0064710B">
        <w:rPr>
          <w:rFonts w:cstheme="minorHAnsi"/>
          <w:b/>
        </w:rPr>
        <w:t>srpen 2027</w:t>
      </w:r>
    </w:p>
    <w:p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Délka řešení projektu:</w:t>
      </w:r>
      <w:r w:rsidRPr="0064710B">
        <w:rPr>
          <w:rFonts w:cstheme="minorHAnsi"/>
          <w:b/>
        </w:rPr>
        <w:t xml:space="preserve"> </w:t>
      </w:r>
      <w:proofErr w:type="gramStart"/>
      <w:r w:rsidRPr="0064710B">
        <w:rPr>
          <w:rFonts w:cstheme="minorHAnsi"/>
          <w:b/>
        </w:rPr>
        <w:t xml:space="preserve">12 – </w:t>
      </w:r>
      <w:r w:rsidR="005D3618" w:rsidRPr="0064710B">
        <w:rPr>
          <w:rFonts w:cstheme="minorHAnsi"/>
          <w:b/>
        </w:rPr>
        <w:t>48</w:t>
      </w:r>
      <w:proofErr w:type="gramEnd"/>
      <w:r w:rsidRPr="0064710B">
        <w:rPr>
          <w:rFonts w:cstheme="minorHAnsi"/>
          <w:b/>
        </w:rPr>
        <w:t xml:space="preserve"> měsíců</w:t>
      </w:r>
    </w:p>
    <w:p w:rsidR="0057770F" w:rsidRPr="0064710B" w:rsidRDefault="0057770F" w:rsidP="0057770F">
      <w:pPr>
        <w:rPr>
          <w:rFonts w:cstheme="minorHAnsi"/>
          <w:b/>
          <w:highlight w:val="yellow"/>
        </w:rPr>
      </w:pPr>
    </w:p>
    <w:p w:rsidR="00531DCA" w:rsidRPr="0064710B" w:rsidRDefault="00531DCA" w:rsidP="00531DCA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Kontaktní osoby:</w:t>
      </w:r>
    </w:p>
    <w:p w:rsidR="00531DCA" w:rsidRPr="0064710B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Soutěž TAČR na VUT Brno – Ing. </w:t>
      </w:r>
      <w:r w:rsidR="00E96464" w:rsidRPr="0064710B">
        <w:rPr>
          <w:rFonts w:cstheme="minorHAnsi"/>
          <w:b/>
        </w:rPr>
        <w:t>Veronika Pilcerová</w:t>
      </w:r>
      <w:r w:rsidRPr="0064710B">
        <w:rPr>
          <w:rFonts w:cstheme="minorHAnsi"/>
          <w:b/>
        </w:rPr>
        <w:t xml:space="preserve"> (</w:t>
      </w:r>
      <w:hyperlink r:id="rId5" w:history="1">
        <w:r w:rsidR="00E96464" w:rsidRPr="0064710B">
          <w:rPr>
            <w:rStyle w:val="Hypertextovodkaz"/>
            <w:rFonts w:cstheme="minorHAnsi"/>
            <w:b/>
          </w:rPr>
          <w:t>pilcerova@vutbr.cz</w:t>
        </w:r>
      </w:hyperlink>
      <w:r w:rsidRPr="0064710B">
        <w:rPr>
          <w:rFonts w:cstheme="minorHAnsi"/>
          <w:b/>
        </w:rPr>
        <w:t>, kl. 5237)</w:t>
      </w:r>
    </w:p>
    <w:p w:rsidR="00531DCA" w:rsidRPr="0064710B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Duševní vlastnictví, konzultace smlouvy mezi uchazeči, </w:t>
      </w:r>
      <w:proofErr w:type="spellStart"/>
      <w:r w:rsidRPr="0064710B">
        <w:rPr>
          <w:rFonts w:cstheme="minorHAnsi"/>
          <w:b/>
        </w:rPr>
        <w:t>Letter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of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intent</w:t>
      </w:r>
      <w:proofErr w:type="spellEnd"/>
      <w:r w:rsidRPr="0064710B">
        <w:rPr>
          <w:rFonts w:cstheme="minorHAnsi"/>
          <w:b/>
        </w:rPr>
        <w:t xml:space="preserve"> – OTT – </w:t>
      </w:r>
      <w:r w:rsidR="005A37C6" w:rsidRPr="0064710B">
        <w:rPr>
          <w:rFonts w:cstheme="minorHAnsi"/>
          <w:b/>
        </w:rPr>
        <w:t>Mgr. Michaela Daňková</w:t>
      </w:r>
      <w:r w:rsidRPr="0064710B">
        <w:rPr>
          <w:rFonts w:cstheme="minorHAnsi"/>
          <w:b/>
        </w:rPr>
        <w:t xml:space="preserve"> (</w:t>
      </w:r>
      <w:hyperlink r:id="rId6" w:history="1">
        <w:r w:rsidR="005A37C6" w:rsidRPr="0064710B">
          <w:rPr>
            <w:rStyle w:val="Hypertextovodkaz"/>
            <w:rFonts w:cstheme="minorHAnsi"/>
            <w:b/>
          </w:rPr>
          <w:t>dankovam@vutbr.cz</w:t>
        </w:r>
      </w:hyperlink>
      <w:r w:rsidRPr="0064710B">
        <w:rPr>
          <w:rFonts w:cstheme="minorHAnsi"/>
          <w:b/>
        </w:rPr>
        <w:t>, kl. 422</w:t>
      </w:r>
      <w:r w:rsidR="005A37C6" w:rsidRPr="0064710B">
        <w:rPr>
          <w:rFonts w:cstheme="minorHAnsi"/>
          <w:b/>
        </w:rPr>
        <w:t>8</w:t>
      </w:r>
      <w:r w:rsidRPr="0064710B">
        <w:rPr>
          <w:rFonts w:cstheme="minorHAnsi"/>
          <w:b/>
        </w:rPr>
        <w:t>)</w:t>
      </w:r>
    </w:p>
    <w:p w:rsidR="00531DCA" w:rsidRPr="0064710B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>Otázka DPH v projektech TAČR – Ing. Romana Sasková (</w:t>
      </w:r>
      <w:hyperlink r:id="rId7" w:history="1">
        <w:r w:rsidRPr="0064710B">
          <w:rPr>
            <w:rStyle w:val="Hypertextovodkaz"/>
            <w:rFonts w:cstheme="minorHAnsi"/>
            <w:b/>
          </w:rPr>
          <w:t>saskova@vutbr.cz</w:t>
        </w:r>
      </w:hyperlink>
      <w:r w:rsidRPr="0064710B">
        <w:rPr>
          <w:rFonts w:cstheme="minorHAnsi"/>
          <w:b/>
        </w:rPr>
        <w:t>, kl. 5356)</w:t>
      </w:r>
    </w:p>
    <w:p w:rsidR="00531DCA" w:rsidRPr="0064710B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>Zadání do APOLLA pod programem financování: FW0</w:t>
      </w:r>
      <w:r w:rsidR="00E85E82" w:rsidRPr="0064710B">
        <w:rPr>
          <w:rFonts w:cstheme="minorHAnsi"/>
          <w:b/>
        </w:rPr>
        <w:t>90</w:t>
      </w:r>
    </w:p>
    <w:p w:rsidR="00531DCA" w:rsidRPr="0064710B" w:rsidRDefault="00531DCA" w:rsidP="0057770F">
      <w:pPr>
        <w:rPr>
          <w:rFonts w:cstheme="minorHAnsi"/>
          <w:b/>
          <w:color w:val="1F4E79" w:themeColor="accent1" w:themeShade="80"/>
          <w:szCs w:val="28"/>
        </w:rPr>
      </w:pPr>
    </w:p>
    <w:p w:rsidR="00C10D9F" w:rsidRPr="0064710B" w:rsidRDefault="00C10D9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Odkaz na soutěž:</w:t>
      </w:r>
    </w:p>
    <w:p w:rsidR="00E96464" w:rsidRPr="0064710B" w:rsidRDefault="0079790B" w:rsidP="0057770F">
      <w:pPr>
        <w:rPr>
          <w:rFonts w:cstheme="minorHAnsi"/>
          <w:color w:val="1F4E79" w:themeColor="accent1" w:themeShade="80"/>
          <w:sz w:val="24"/>
          <w:szCs w:val="28"/>
        </w:rPr>
      </w:pPr>
      <w:hyperlink r:id="rId8" w:history="1">
        <w:r w:rsidR="005D3618" w:rsidRPr="0064710B">
          <w:rPr>
            <w:rStyle w:val="Hypertextovodkaz"/>
            <w:rFonts w:cstheme="minorHAnsi"/>
            <w:sz w:val="24"/>
            <w:szCs w:val="28"/>
          </w:rPr>
          <w:t>https://www.tacr.cz/soutez/program-trend/devata-verejna-soutez/</w:t>
        </w:r>
      </w:hyperlink>
      <w:r w:rsidR="005D3618" w:rsidRPr="0064710B">
        <w:rPr>
          <w:rFonts w:cstheme="minorHAnsi"/>
          <w:color w:val="1F4E79" w:themeColor="accent1" w:themeShade="80"/>
          <w:sz w:val="24"/>
          <w:szCs w:val="28"/>
        </w:rPr>
        <w:t xml:space="preserve"> </w:t>
      </w:r>
    </w:p>
    <w:p w:rsidR="005D3618" w:rsidRPr="0064710B" w:rsidRDefault="005D3618" w:rsidP="0057770F">
      <w:pPr>
        <w:rPr>
          <w:rFonts w:cstheme="minorHAnsi"/>
          <w:b/>
          <w:color w:val="1F4E79" w:themeColor="accent1" w:themeShade="80"/>
          <w:szCs w:val="28"/>
        </w:rPr>
      </w:pPr>
    </w:p>
    <w:p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Zaměření programu:</w:t>
      </w:r>
    </w:p>
    <w:p w:rsidR="002B225D" w:rsidRPr="0064710B" w:rsidRDefault="0030289D" w:rsidP="002B225D">
      <w:pPr>
        <w:jc w:val="both"/>
        <w:rPr>
          <w:rFonts w:cstheme="minorHAnsi"/>
        </w:rPr>
      </w:pPr>
      <w:r w:rsidRPr="0064710B">
        <w:rPr>
          <w:rFonts w:cstheme="minorHAnsi"/>
        </w:rPr>
        <w:t xml:space="preserve">Veřejná soutěž je zaměřena na nastartování vlastních výzkumných a vývojových aktivit u podniků, které doposud nerealizovaly na pravidelné bázi vlastní výzkum a vývoj (dále jen </w:t>
      </w:r>
      <w:proofErr w:type="spellStart"/>
      <w:r w:rsidRPr="0064710B">
        <w:rPr>
          <w:rFonts w:cstheme="minorHAnsi"/>
        </w:rPr>
        <w:t>VaV</w:t>
      </w:r>
      <w:proofErr w:type="spellEnd"/>
      <w:r w:rsidRPr="0064710B">
        <w:rPr>
          <w:rFonts w:cstheme="minorHAnsi"/>
        </w:rPr>
        <w:t xml:space="preserve">) aktivity ani nákup </w:t>
      </w:r>
      <w:proofErr w:type="spellStart"/>
      <w:r w:rsidRPr="0064710B">
        <w:rPr>
          <w:rFonts w:cstheme="minorHAnsi"/>
        </w:rPr>
        <w:t>VaV</w:t>
      </w:r>
      <w:proofErr w:type="spellEnd"/>
      <w:r w:rsidRPr="0064710B">
        <w:rPr>
          <w:rFonts w:cstheme="minorHAnsi"/>
        </w:rPr>
        <w:t xml:space="preserve"> služeb od výzkumných organizací. </w:t>
      </w:r>
      <w:r w:rsidR="005D3618" w:rsidRPr="0064710B">
        <w:rPr>
          <w:rFonts w:cstheme="minorHAnsi"/>
        </w:rPr>
        <w:t xml:space="preserve">Hlavním cílem programu je zvýšení mezinárodní konkurenceschopnosti podniků, především rozšířením jejich trhů v zahraničí, pronikáním na trhy nové či posunem výše v globálních hodnotových řetězcích. Zvláštní důraz se klade na posílení spolupráce </w:t>
      </w:r>
      <w:r w:rsidR="005D3618" w:rsidRPr="0064710B">
        <w:rPr>
          <w:rFonts w:cstheme="minorHAnsi"/>
        </w:rPr>
        <w:lastRenderedPageBreak/>
        <w:t>výzkumného, akademického a soukromého sektoru a vytvoření vhodných podmínek pro komercializaci výstupů/výsledků výzkumu a jejich využití pro potřeby společnosti. Podpořeny budou návrhy projektů průmyslového výzkumu a experimentálního vývoje, jejichž cílem je zavedení výsledků do praxe, zejména do průmyslové výroby a do nabídky produktů na trhu, projekty rozvíjející nové technologie a materiály, zvyšující míru automatizace a robotizace a využití digitálních technologií.</w:t>
      </w:r>
    </w:p>
    <w:p w:rsidR="00B73D5D" w:rsidRPr="0064710B" w:rsidRDefault="00B73D5D" w:rsidP="002B225D">
      <w:pPr>
        <w:jc w:val="both"/>
        <w:rPr>
          <w:rFonts w:cstheme="minorHAnsi"/>
          <w:b/>
          <w:color w:val="1F4E79" w:themeColor="accent1" w:themeShade="80"/>
          <w:szCs w:val="28"/>
        </w:rPr>
      </w:pPr>
    </w:p>
    <w:p w:rsidR="0057770F" w:rsidRPr="0064710B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:rsidR="00B73D5D" w:rsidRPr="0064710B" w:rsidRDefault="00B73D5D" w:rsidP="00B73D5D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Každý uchazeč (hlavní uchazeč, další účastníci) musí pro určení maximální intenzity podpory zvolit jeden z následujících typů uchazeče: </w:t>
      </w:r>
    </w:p>
    <w:p w:rsidR="00B73D5D" w:rsidRPr="0064710B" w:rsidRDefault="00B73D5D" w:rsidP="00B73D5D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64710B">
        <w:rPr>
          <w:rFonts w:cstheme="minorHAnsi"/>
        </w:rPr>
        <w:t xml:space="preserve">výzkumná organizace; </w:t>
      </w:r>
    </w:p>
    <w:p w:rsidR="00697433" w:rsidRPr="0064710B" w:rsidRDefault="00B73D5D" w:rsidP="0057770F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64710B">
        <w:rPr>
          <w:rFonts w:cstheme="minorHAnsi"/>
        </w:rPr>
        <w:t xml:space="preserve">podnik – malý, střední, velký. </w:t>
      </w:r>
    </w:p>
    <w:p w:rsidR="0030289D" w:rsidRPr="0064710B" w:rsidRDefault="0030289D" w:rsidP="0057770F">
      <w:pPr>
        <w:rPr>
          <w:rFonts w:cstheme="minorHAnsi"/>
          <w:b/>
        </w:rPr>
      </w:pPr>
      <w:r w:rsidRPr="0064710B">
        <w:rPr>
          <w:rFonts w:cstheme="minorHAnsi"/>
          <w:b/>
        </w:rPr>
        <w:t>Podnik:</w:t>
      </w:r>
    </w:p>
    <w:p w:rsidR="0030289D" w:rsidRPr="0064710B" w:rsidRDefault="0030289D" w:rsidP="0030289D">
      <w:pPr>
        <w:pStyle w:val="Odstavecseseznamem"/>
        <w:numPr>
          <w:ilvl w:val="0"/>
          <w:numId w:val="19"/>
        </w:numPr>
        <w:rPr>
          <w:rFonts w:cstheme="minorHAnsi"/>
          <w:b/>
          <w:color w:val="FF0000"/>
        </w:rPr>
      </w:pPr>
      <w:r w:rsidRPr="0064710B">
        <w:rPr>
          <w:rFonts w:cstheme="minorHAnsi"/>
        </w:rPr>
        <w:t xml:space="preserve">musí být vždy hlavním uchazečem; </w:t>
      </w:r>
    </w:p>
    <w:p w:rsidR="0030289D" w:rsidRPr="0064710B" w:rsidRDefault="0030289D" w:rsidP="0030289D">
      <w:pPr>
        <w:pStyle w:val="Odstavecseseznamem"/>
        <w:numPr>
          <w:ilvl w:val="0"/>
          <w:numId w:val="19"/>
        </w:numPr>
        <w:rPr>
          <w:rFonts w:cstheme="minorHAnsi"/>
          <w:b/>
          <w:color w:val="FF0000"/>
        </w:rPr>
      </w:pPr>
      <w:r w:rsidRPr="0064710B">
        <w:rPr>
          <w:rFonts w:cstheme="minorHAnsi"/>
        </w:rPr>
        <w:t>může být v roli hlavního uchazeče pouze v případě, že nečerpal v posledních pěti letech veřejnou podporu na výzkum a vývoj v úhrnu nad 1 mil. Kč;</w:t>
      </w:r>
    </w:p>
    <w:p w:rsidR="0030289D" w:rsidRPr="0064710B" w:rsidRDefault="0030289D" w:rsidP="0030289D">
      <w:pPr>
        <w:pStyle w:val="Odstavecseseznamem"/>
        <w:numPr>
          <w:ilvl w:val="0"/>
          <w:numId w:val="19"/>
        </w:numPr>
        <w:rPr>
          <w:rFonts w:cstheme="minorHAnsi"/>
          <w:b/>
          <w:color w:val="FF0000"/>
        </w:rPr>
      </w:pPr>
      <w:r w:rsidRPr="0064710B">
        <w:rPr>
          <w:rFonts w:cstheme="minorHAnsi"/>
        </w:rPr>
        <w:t>může podat v roli hlavního uchazeče maximálně jeden návrh projektu;</w:t>
      </w:r>
    </w:p>
    <w:p w:rsidR="0030289D" w:rsidRPr="0064710B" w:rsidRDefault="0030289D" w:rsidP="0030289D">
      <w:pPr>
        <w:pStyle w:val="Odstavecseseznamem"/>
        <w:numPr>
          <w:ilvl w:val="0"/>
          <w:numId w:val="19"/>
        </w:numPr>
        <w:rPr>
          <w:rFonts w:cstheme="minorHAnsi"/>
          <w:b/>
          <w:color w:val="FF0000"/>
        </w:rPr>
      </w:pPr>
      <w:r w:rsidRPr="0064710B">
        <w:rPr>
          <w:rFonts w:cstheme="minorHAnsi"/>
        </w:rPr>
        <w:t xml:space="preserve">může být i v roli dalšího účastníka (na dalšího účastníka se nevztahuje omezení čerpání podpory v posledních 5 letech). </w:t>
      </w:r>
    </w:p>
    <w:p w:rsidR="0030289D" w:rsidRPr="0064710B" w:rsidRDefault="0030289D" w:rsidP="0030289D">
      <w:pPr>
        <w:rPr>
          <w:rFonts w:cstheme="minorHAnsi"/>
          <w:b/>
        </w:rPr>
      </w:pPr>
      <w:r w:rsidRPr="0064710B">
        <w:rPr>
          <w:rFonts w:cstheme="minorHAnsi"/>
          <w:b/>
        </w:rPr>
        <w:t>Výzkumná organizace:</w:t>
      </w:r>
    </w:p>
    <w:p w:rsidR="0030289D" w:rsidRPr="0064710B" w:rsidRDefault="0030289D" w:rsidP="0030289D">
      <w:pPr>
        <w:pStyle w:val="Odstavecseseznamem"/>
        <w:numPr>
          <w:ilvl w:val="0"/>
          <w:numId w:val="19"/>
        </w:numPr>
        <w:rPr>
          <w:rFonts w:cstheme="minorHAnsi"/>
          <w:b/>
          <w:color w:val="FF0000"/>
        </w:rPr>
      </w:pPr>
      <w:r w:rsidRPr="0064710B">
        <w:rPr>
          <w:rFonts w:cstheme="minorHAnsi"/>
        </w:rPr>
        <w:t xml:space="preserve">musí být minimálně jedna v roli dalšího účastníka, která je zapojena formou </w:t>
      </w:r>
      <w:proofErr w:type="spellStart"/>
      <w:r w:rsidRPr="0064710B">
        <w:rPr>
          <w:rFonts w:cstheme="minorHAnsi"/>
        </w:rPr>
        <w:t>kolaborativního</w:t>
      </w:r>
      <w:proofErr w:type="spellEnd"/>
      <w:r w:rsidRPr="0064710B">
        <w:rPr>
          <w:rFonts w:cstheme="minorHAnsi"/>
        </w:rPr>
        <w:t xml:space="preserve"> výzkumu (podílí se za celou dobu řešení minimálně 10 % na celkových nákladech projektu)</w:t>
      </w:r>
    </w:p>
    <w:p w:rsidR="00B73D5D" w:rsidRPr="0064710B" w:rsidRDefault="00B73D5D" w:rsidP="0030289D">
      <w:pPr>
        <w:rPr>
          <w:rFonts w:cstheme="minorHAnsi"/>
          <w:b/>
          <w:color w:val="FF0000"/>
        </w:rPr>
      </w:pPr>
      <w:r w:rsidRPr="0064710B">
        <w:rPr>
          <w:rFonts w:cstheme="minorHAnsi"/>
          <w:b/>
          <w:color w:val="FF0000"/>
        </w:rPr>
        <w:t xml:space="preserve">Specifikace podmínky nečerpání podpory na </w:t>
      </w:r>
      <w:proofErr w:type="spellStart"/>
      <w:r w:rsidRPr="0064710B">
        <w:rPr>
          <w:rFonts w:cstheme="minorHAnsi"/>
          <w:b/>
          <w:color w:val="FF0000"/>
        </w:rPr>
        <w:t>VaV</w:t>
      </w:r>
      <w:proofErr w:type="spellEnd"/>
      <w:r w:rsidRPr="0064710B">
        <w:rPr>
          <w:rFonts w:cstheme="minorHAnsi"/>
          <w:b/>
          <w:color w:val="FF0000"/>
        </w:rPr>
        <w:t xml:space="preserve"> pro hlavní uchazeče Hlavní uchazeč musí doložit </w:t>
      </w:r>
      <w:r w:rsidRPr="0064710B">
        <w:rPr>
          <w:rFonts w:cstheme="minorHAnsi"/>
          <w:b/>
          <w:color w:val="FF0000"/>
          <w:u w:val="single"/>
        </w:rPr>
        <w:t>čestným prohlášením</w:t>
      </w:r>
      <w:r w:rsidRPr="0064710B">
        <w:rPr>
          <w:rFonts w:cstheme="minorHAnsi"/>
          <w:b/>
          <w:color w:val="FF0000"/>
        </w:rPr>
        <w:t xml:space="preserve">, že v posledních pěti letech nebyl příjemcem podpory ze státního nebo jiných veřejných rozpočtů na své či nakupované činnosti </w:t>
      </w:r>
      <w:proofErr w:type="spellStart"/>
      <w:r w:rsidRPr="0064710B">
        <w:rPr>
          <w:rFonts w:cstheme="minorHAnsi"/>
          <w:b/>
          <w:color w:val="FF0000"/>
        </w:rPr>
        <w:t>VaV</w:t>
      </w:r>
      <w:proofErr w:type="spellEnd"/>
      <w:r w:rsidRPr="0064710B">
        <w:rPr>
          <w:rFonts w:cstheme="minorHAnsi"/>
          <w:b/>
          <w:color w:val="FF0000"/>
        </w:rPr>
        <w:t xml:space="preserve"> v objemu, který by v úhrnu přesáhl 1 mil. Kč.</w:t>
      </w:r>
    </w:p>
    <w:p w:rsidR="00B73D5D" w:rsidRPr="0064710B" w:rsidRDefault="00B73D5D" w:rsidP="0057770F">
      <w:pPr>
        <w:rPr>
          <w:rFonts w:cstheme="minorHAnsi"/>
          <w:b/>
          <w:color w:val="1F4E79" w:themeColor="accent1" w:themeShade="80"/>
        </w:rPr>
      </w:pPr>
    </w:p>
    <w:p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Výstupy/výsledky:</w:t>
      </w:r>
    </w:p>
    <w:p w:rsidR="003145D6" w:rsidRPr="0064710B" w:rsidRDefault="003145D6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</w:rPr>
        <w:t>V této veřejné soutěži může TA ČR podporovat pouze návrhy projektů, kde se předpokládá uplatnění výstupů/výsledků do praxe. V každém návrhu projektu musí být zvolen minimálně jeden hlavní výstup/výsledek</w:t>
      </w:r>
    </w:p>
    <w:p w:rsidR="00774823" w:rsidRPr="0064710B" w:rsidRDefault="00774823" w:rsidP="0057770F">
      <w:pPr>
        <w:rPr>
          <w:rFonts w:cstheme="minorHAnsi"/>
          <w:i/>
          <w:u w:val="single"/>
        </w:rPr>
      </w:pPr>
      <w:r w:rsidRPr="0064710B">
        <w:rPr>
          <w:rFonts w:cstheme="minorHAnsi"/>
          <w:i/>
          <w:u w:val="single"/>
        </w:rPr>
        <w:t>Hlavní výstupy: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Fprum</w:t>
      </w:r>
      <w:proofErr w:type="spellEnd"/>
      <w:r w:rsidRPr="0064710B">
        <w:rPr>
          <w:rFonts w:cstheme="minorHAnsi"/>
        </w:rPr>
        <w:t xml:space="preserve"> průmyslový vzor, 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Fuzit</w:t>
      </w:r>
      <w:proofErr w:type="spellEnd"/>
      <w:r w:rsidRPr="0064710B">
        <w:rPr>
          <w:rFonts w:cstheme="minorHAnsi"/>
        </w:rPr>
        <w:t xml:space="preserve"> užitný vzor, 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Gprot</w:t>
      </w:r>
      <w:proofErr w:type="spellEnd"/>
      <w:r w:rsidRPr="0064710B">
        <w:rPr>
          <w:rFonts w:cstheme="minorHAnsi"/>
        </w:rPr>
        <w:t xml:space="preserve"> prototyp, 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Gfunk</w:t>
      </w:r>
      <w:proofErr w:type="spellEnd"/>
      <w:r w:rsidRPr="0064710B">
        <w:rPr>
          <w:rFonts w:cstheme="minorHAnsi"/>
        </w:rPr>
        <w:t xml:space="preserve"> funkční vzorek, 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64710B">
        <w:rPr>
          <w:rFonts w:cstheme="minorHAnsi"/>
        </w:rPr>
        <w:t xml:space="preserve">R software, </w:t>
      </w:r>
    </w:p>
    <w:p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Zpolop</w:t>
      </w:r>
      <w:proofErr w:type="spellEnd"/>
      <w:r w:rsidRPr="0064710B">
        <w:rPr>
          <w:rFonts w:cstheme="minorHAnsi"/>
        </w:rPr>
        <w:t xml:space="preserve"> poloprovoz, </w:t>
      </w:r>
    </w:p>
    <w:p w:rsidR="00774823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Ztech</w:t>
      </w:r>
      <w:proofErr w:type="spellEnd"/>
      <w:r w:rsidRPr="0064710B">
        <w:rPr>
          <w:rFonts w:cstheme="minorHAnsi"/>
        </w:rPr>
        <w:t xml:space="preserve"> ověřená technologie</w:t>
      </w:r>
    </w:p>
    <w:p w:rsidR="003145D6" w:rsidRPr="0064710B" w:rsidRDefault="003145D6" w:rsidP="00CA4F6F">
      <w:pPr>
        <w:pStyle w:val="Odstavecseseznamem"/>
        <w:rPr>
          <w:rFonts w:cstheme="minorHAnsi"/>
        </w:rPr>
      </w:pPr>
    </w:p>
    <w:p w:rsidR="00010C58" w:rsidRPr="0064710B" w:rsidRDefault="00010C58" w:rsidP="00CA4F6F">
      <w:pPr>
        <w:pStyle w:val="Odstavecseseznamem"/>
        <w:rPr>
          <w:rFonts w:cstheme="minorHAnsi"/>
        </w:rPr>
      </w:pP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lastRenderedPageBreak/>
        <w:t>Další výstupy, které je možné dosáhnout v kombinaci s výše uvedenými: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NmetA</w:t>
      </w:r>
      <w:proofErr w:type="spellEnd"/>
      <w:r w:rsidRPr="000036D5">
        <w:t xml:space="preserve"> metodiky a postupy akreditované oprávněným orgánem, 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NmetC</w:t>
      </w:r>
      <w:proofErr w:type="spellEnd"/>
      <w:r w:rsidRPr="000036D5">
        <w:t xml:space="preserve"> metodika certifikovaná oprávněným orgánem, </w:t>
      </w:r>
    </w:p>
    <w:p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proofErr w:type="spellStart"/>
      <w:r w:rsidRPr="000036D5">
        <w:t>NmetS</w:t>
      </w:r>
      <w:proofErr w:type="spellEnd"/>
      <w:r w:rsidRPr="000036D5">
        <w:t xml:space="preserve"> metodika schválená příslušným orgánem státní správy, do jehož kompetence daná problematika spadá</w:t>
      </w:r>
      <w:r w:rsidR="004540B9" w:rsidRPr="000036D5">
        <w:t xml:space="preserve">, </w:t>
      </w:r>
    </w:p>
    <w:p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r w:rsidRPr="000036D5">
        <w:t>P patent</w:t>
      </w:r>
      <w:r w:rsidR="000036D5" w:rsidRPr="000036D5">
        <w:t xml:space="preserve">, </w:t>
      </w:r>
    </w:p>
    <w:p w:rsidR="00774823" w:rsidRPr="005A37C6" w:rsidRDefault="0044320D" w:rsidP="005A485D">
      <w:pPr>
        <w:pStyle w:val="Odstavecseseznamem"/>
        <w:numPr>
          <w:ilvl w:val="0"/>
          <w:numId w:val="12"/>
        </w:numPr>
        <w:spacing w:after="0"/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:rsidR="0057770F" w:rsidRDefault="0057770F" w:rsidP="005A485D">
      <w:pPr>
        <w:spacing w:after="0"/>
        <w:rPr>
          <w:highlight w:val="yellow"/>
        </w:rPr>
      </w:pPr>
    </w:p>
    <w:p w:rsidR="005A485D" w:rsidRPr="001923C1" w:rsidRDefault="005A485D" w:rsidP="005A485D">
      <w:pPr>
        <w:spacing w:after="0"/>
        <w:rPr>
          <w:highlight w:val="yellow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Pr="005A37C6">
        <w:rPr>
          <w:b/>
        </w:rPr>
        <w:t xml:space="preserve"> </w:t>
      </w:r>
      <w:r w:rsidR="003145D6">
        <w:rPr>
          <w:b/>
        </w:rPr>
        <w:t>2</w:t>
      </w:r>
      <w:r w:rsidR="002E1ECA">
        <w:rPr>
          <w:b/>
        </w:rPr>
        <w:t xml:space="preserve">00 </w:t>
      </w:r>
      <w:r w:rsidR="00697433">
        <w:rPr>
          <w:b/>
        </w:rPr>
        <w:t>mil.</w:t>
      </w:r>
      <w:r w:rsidR="00AB60CA" w:rsidRPr="005A37C6">
        <w:rPr>
          <w:b/>
        </w:rPr>
        <w:t xml:space="preserve"> Kč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0036D5">
        <w:t>Maximální částka podpory na jeden projekt -</w:t>
      </w:r>
      <w:r w:rsidR="00697433">
        <w:t xml:space="preserve"> </w:t>
      </w:r>
      <w:r w:rsidR="002E1ECA" w:rsidRPr="002B225D">
        <w:rPr>
          <w:b/>
        </w:rPr>
        <w:t>1</w:t>
      </w:r>
      <w:r w:rsidR="005A37C6">
        <w:rPr>
          <w:b/>
        </w:rPr>
        <w:t>5</w:t>
      </w:r>
      <w:r w:rsidRPr="000036D5">
        <w:rPr>
          <w:b/>
        </w:rPr>
        <w:t xml:space="preserve"> mil. Kč</w:t>
      </w:r>
    </w:p>
    <w:p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F95735">
        <w:rPr>
          <w:b/>
        </w:rPr>
        <w:t>8</w:t>
      </w:r>
      <w:r w:rsidR="005A37C6">
        <w:rPr>
          <w:b/>
        </w:rPr>
        <w:t>0</w:t>
      </w:r>
      <w:r w:rsidRPr="000036D5">
        <w:rPr>
          <w:b/>
        </w:rPr>
        <w:t xml:space="preserve"> %</w:t>
      </w:r>
    </w:p>
    <w:p w:rsidR="00D66035" w:rsidRPr="000036D5" w:rsidRDefault="00D66035" w:rsidP="007C2781">
      <w:pPr>
        <w:spacing w:line="100" w:lineRule="atLeast"/>
        <w:rPr>
          <w:b/>
        </w:rPr>
      </w:pPr>
      <w:r w:rsidRPr="002B225D">
        <w:rPr>
          <w:b/>
        </w:rPr>
        <w:t xml:space="preserve">Maximální intenzita podpory pro výzkumnou organizaci -  </w:t>
      </w:r>
      <w:r w:rsidR="00D70187" w:rsidRPr="002B225D">
        <w:rPr>
          <w:b/>
        </w:rPr>
        <w:t>90</w:t>
      </w:r>
      <w:r w:rsidRPr="002B225D">
        <w:rPr>
          <w:b/>
        </w:rPr>
        <w:t>%</w:t>
      </w:r>
    </w:p>
    <w:p w:rsidR="00534E40" w:rsidRPr="00534E40" w:rsidRDefault="00534E40" w:rsidP="00525099">
      <w:pPr>
        <w:rPr>
          <w:b/>
          <w:color w:val="FF0000"/>
        </w:rPr>
      </w:pPr>
      <w:r w:rsidRPr="00534E40">
        <w:rPr>
          <w:b/>
          <w:color w:val="FF0000"/>
        </w:rPr>
        <w:t xml:space="preserve">V návrhu projektu musí být dodrženy dva typy intenzity podpory: </w:t>
      </w:r>
    </w:p>
    <w:p w:rsidR="00534E40" w:rsidRPr="00534E40" w:rsidRDefault="00534E40" w:rsidP="00534E40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34E4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maximální intenzita podpory za projekt (intenzita musí být dodržena vždy za celý návrh projektu a v součtu všech uchazečů uvedených v návrhu projektu); </w:t>
      </w:r>
    </w:p>
    <w:p w:rsidR="00F95735" w:rsidRPr="00534E40" w:rsidRDefault="00534E40" w:rsidP="00534E40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34E40">
        <w:rPr>
          <w:rFonts w:asciiTheme="minorHAnsi" w:hAnsiTheme="minorHAnsi" w:cstheme="minorHAnsi"/>
          <w:b/>
          <w:color w:val="FF0000"/>
          <w:sz w:val="22"/>
          <w:szCs w:val="22"/>
        </w:rPr>
        <w:t>intenzita podpory za uchazeče (za jednotlivé uchazeče v návrhu projektu).</w:t>
      </w:r>
    </w:p>
    <w:p w:rsidR="00F55C70" w:rsidRPr="0064710B" w:rsidRDefault="00F55C70" w:rsidP="00525099">
      <w:pPr>
        <w:rPr>
          <w:b/>
          <w:color w:val="1F4E79" w:themeColor="accent1" w:themeShade="80"/>
          <w:szCs w:val="28"/>
        </w:rPr>
      </w:pPr>
    </w:p>
    <w:p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 xml:space="preserve">Způsobilé náklady:  </w:t>
      </w:r>
    </w:p>
    <w:p w:rsidR="005A37C6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osobní náklady</w:t>
      </w:r>
      <w:r w:rsidR="004540B9" w:rsidRPr="00B73D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3CFC" w:rsidRPr="00B73D5D" w:rsidRDefault="004540B9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stipendi</w:t>
      </w:r>
      <w:r w:rsidR="005A37C6" w:rsidRPr="00B73D5D">
        <w:rPr>
          <w:rFonts w:asciiTheme="minorHAnsi" w:hAnsiTheme="minorHAnsi" w:cstheme="minorHAnsi"/>
          <w:sz w:val="22"/>
          <w:szCs w:val="22"/>
        </w:rPr>
        <w:t>a</w:t>
      </w:r>
      <w:r w:rsidRPr="00B73D5D">
        <w:rPr>
          <w:rFonts w:asciiTheme="minorHAnsi" w:hAnsiTheme="minorHAnsi" w:cstheme="minorHAnsi"/>
          <w:sz w:val="22"/>
          <w:szCs w:val="22"/>
        </w:rPr>
        <w:t xml:space="preserve"> (</w:t>
      </w:r>
      <w:r w:rsidRPr="00B73D5D">
        <w:rPr>
          <w:rFonts w:asciiTheme="minorHAnsi" w:hAnsiTheme="minorHAnsi" w:cstheme="minorHAnsi"/>
          <w:b/>
          <w:sz w:val="22"/>
          <w:szCs w:val="22"/>
        </w:rPr>
        <w:t>na VUT není tento náklad doporučován!)</w:t>
      </w:r>
      <w:r w:rsidR="00FE3CFC" w:rsidRPr="00B73D5D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:rsidR="004129C7" w:rsidRPr="00AB1970" w:rsidRDefault="00FE3CFC" w:rsidP="009F5B0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1970">
        <w:rPr>
          <w:rFonts w:asciiTheme="minorHAnsi" w:hAnsiTheme="minorHAnsi" w:cstheme="minorHAnsi"/>
          <w:b/>
          <w:color w:val="FF0000"/>
          <w:sz w:val="22"/>
          <w:szCs w:val="22"/>
        </w:rPr>
        <w:t>nepřímé náklady</w:t>
      </w:r>
      <w:r w:rsidR="004540B9" w:rsidRPr="00AB197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AB197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pouze metodou </w:t>
      </w:r>
      <w:r w:rsidR="004540B9" w:rsidRPr="00AB1970">
        <w:rPr>
          <w:rFonts w:asciiTheme="minorHAnsi" w:hAnsiTheme="minorHAnsi" w:cstheme="minorHAnsi"/>
          <w:b/>
          <w:color w:val="FF0000"/>
          <w:sz w:val="22"/>
          <w:szCs w:val="22"/>
        </w:rPr>
        <w:t>FLATE RATE 2</w:t>
      </w:r>
      <w:r w:rsidR="00103A81" w:rsidRPr="00AB1970"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="004540B9" w:rsidRPr="00AB1970">
        <w:rPr>
          <w:rFonts w:asciiTheme="minorHAnsi" w:hAnsiTheme="minorHAnsi" w:cstheme="minorHAnsi"/>
          <w:b/>
          <w:color w:val="FF0000"/>
          <w:sz w:val="22"/>
          <w:szCs w:val="22"/>
        </w:rPr>
        <w:t>%</w:t>
      </w:r>
      <w:r w:rsidRPr="00AB197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AB197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FE3CFC" w:rsidRPr="004540B9" w:rsidRDefault="00FE3CFC" w:rsidP="0057770F">
      <w:pPr>
        <w:rPr>
          <w:b/>
        </w:rPr>
      </w:pPr>
    </w:p>
    <w:p w:rsidR="00894BEB" w:rsidRPr="00525099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4540B9" w:rsidRDefault="004540B9" w:rsidP="004540B9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9" w:history="1">
        <w:r w:rsidR="00103A81"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="00103A81" w:rsidRPr="00103A81">
        <w:t>=</w:t>
      </w:r>
      <w:r w:rsidR="00103A81">
        <w:t xml:space="preserve"> </w:t>
      </w:r>
    </w:p>
    <w:p w:rsidR="00AB1970" w:rsidRDefault="00AB1970" w:rsidP="0057770F">
      <w:pPr>
        <w:rPr>
          <w:b/>
          <w:highlight w:val="yellow"/>
        </w:rPr>
      </w:pPr>
    </w:p>
    <w:p w:rsidR="00697433" w:rsidRDefault="00697433" w:rsidP="0057770F">
      <w:pPr>
        <w:rPr>
          <w:b/>
          <w:highlight w:val="yellow"/>
        </w:rPr>
      </w:pPr>
    </w:p>
    <w:p w:rsidR="00697433" w:rsidRDefault="00697433" w:rsidP="0057770F">
      <w:pPr>
        <w:rPr>
          <w:b/>
          <w:highlight w:val="yellow"/>
        </w:rPr>
      </w:pPr>
    </w:p>
    <w:p w:rsidR="00697433" w:rsidRPr="00BF0F25" w:rsidRDefault="00697433" w:rsidP="0057770F">
      <w:pPr>
        <w:rPr>
          <w:b/>
          <w:highlight w:val="yellow"/>
        </w:rPr>
      </w:pPr>
    </w:p>
    <w:p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lastRenderedPageBreak/>
        <w:t>Požadavky na způsobilost:</w:t>
      </w:r>
    </w:p>
    <w:p w:rsidR="004540B9" w:rsidRPr="000036D5" w:rsidRDefault="004540B9" w:rsidP="001F1840">
      <w:pPr>
        <w:jc w:val="both"/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uvedeno:</w:t>
      </w:r>
      <w:r w:rsidRPr="000036D5">
        <w:rPr>
          <w:b/>
        </w:rPr>
        <w:t xml:space="preserve"> „</w:t>
      </w:r>
      <w:r w:rsidR="000036D5">
        <w:rPr>
          <w:b/>
        </w:rPr>
        <w:t>P</w:t>
      </w:r>
      <w:r w:rsidRPr="000036D5">
        <w:rPr>
          <w:b/>
        </w:rPr>
        <w:t>rogram TREND</w:t>
      </w:r>
      <w:r w:rsidR="00144FEB">
        <w:rPr>
          <w:b/>
        </w:rPr>
        <w:t xml:space="preserve"> </w:t>
      </w:r>
      <w:r w:rsidRPr="000036D5">
        <w:rPr>
          <w:b/>
        </w:rPr>
        <w:t xml:space="preserve">– </w:t>
      </w:r>
      <w:r w:rsidR="004129C7">
        <w:rPr>
          <w:b/>
        </w:rPr>
        <w:t>Prokázání způsobilosti</w:t>
      </w:r>
      <w:r w:rsidRPr="000036D5">
        <w:rPr>
          <w:b/>
        </w:rPr>
        <w:t xml:space="preserve">“. </w:t>
      </w:r>
      <w:r w:rsidRPr="001F1840">
        <w:t>Zahraniční uchazeči</w:t>
      </w:r>
      <w:r w:rsidR="000036D5" w:rsidRPr="001F1840">
        <w:t xml:space="preserve"> nebo ti, kteří nemají datovou schránku</w:t>
      </w:r>
      <w:r w:rsidRPr="001F1840">
        <w:t xml:space="preserve"> zašlou doklady prokazující způsobilost v listinné podobě.</w:t>
      </w:r>
      <w:r w:rsidRPr="000036D5">
        <w:rPr>
          <w:b/>
        </w:rPr>
        <w:t xml:space="preserve"> </w:t>
      </w:r>
    </w:p>
    <w:p w:rsidR="00894BEB" w:rsidRDefault="004540B9" w:rsidP="001F1840">
      <w:pPr>
        <w:jc w:val="both"/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:rsidR="00AA343B" w:rsidRPr="005A485D" w:rsidRDefault="00AA343B" w:rsidP="001F1840">
      <w:pPr>
        <w:jc w:val="both"/>
        <w:rPr>
          <w:b/>
          <w:color w:val="FF0000"/>
        </w:rPr>
      </w:pPr>
      <w:r w:rsidRPr="005A485D">
        <w:rPr>
          <w:b/>
          <w:color w:val="FF0000"/>
        </w:rPr>
        <w:t>Uchazeči musí být zapsaní v evidenci skutečných majitelů. Pokud uchazeč není zapsán v evidenci skutečných majitelů do termínu konce soutěžní lhůty, tedy do</w:t>
      </w:r>
      <w:r w:rsidR="00B73D5D">
        <w:rPr>
          <w:b/>
          <w:color w:val="FF0000"/>
        </w:rPr>
        <w:t xml:space="preserve"> 11</w:t>
      </w:r>
      <w:r w:rsidRPr="005A485D">
        <w:rPr>
          <w:b/>
          <w:color w:val="FF0000"/>
        </w:rPr>
        <w:t>.</w:t>
      </w:r>
      <w:r w:rsidR="00B73D5D">
        <w:rPr>
          <w:b/>
          <w:color w:val="FF0000"/>
        </w:rPr>
        <w:t xml:space="preserve"> </w:t>
      </w:r>
      <w:r w:rsidR="004129C7" w:rsidRPr="005A485D">
        <w:rPr>
          <w:b/>
          <w:color w:val="FF0000"/>
        </w:rPr>
        <w:t>1</w:t>
      </w:r>
      <w:r w:rsidRPr="005A485D">
        <w:rPr>
          <w:b/>
          <w:color w:val="FF0000"/>
        </w:rPr>
        <w:t>. 202</w:t>
      </w:r>
      <w:r w:rsidR="00B73D5D">
        <w:rPr>
          <w:b/>
          <w:color w:val="FF0000"/>
        </w:rPr>
        <w:t>3</w:t>
      </w:r>
      <w:r w:rsidRPr="005A485D">
        <w:rPr>
          <w:b/>
          <w:color w:val="FF0000"/>
        </w:rPr>
        <w:t>, nepřijme TA ČR návrh projektu do veřejné soutěže.</w:t>
      </w:r>
    </w:p>
    <w:p w:rsidR="00B73D5D" w:rsidRPr="0064710B" w:rsidRDefault="00B73D5D" w:rsidP="004540B9">
      <w:pPr>
        <w:rPr>
          <w:b/>
          <w:color w:val="1F4E79" w:themeColor="accent1" w:themeShade="80"/>
          <w:szCs w:val="28"/>
        </w:rPr>
      </w:pPr>
    </w:p>
    <w:p w:rsidR="00B73D5D" w:rsidRPr="00B73D5D" w:rsidRDefault="00B73D5D" w:rsidP="004540B9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Vymezení vůči vlastním obdobným projektům</w:t>
      </w:r>
      <w:r w:rsidRPr="00525099">
        <w:rPr>
          <w:b/>
          <w:color w:val="1F4E79" w:themeColor="accent1" w:themeShade="80"/>
          <w:sz w:val="28"/>
          <w:szCs w:val="28"/>
        </w:rPr>
        <w:t>:</w:t>
      </w:r>
    </w:p>
    <w:p w:rsidR="00B73D5D" w:rsidRDefault="00B73D5D" w:rsidP="004540B9">
      <w:r>
        <w:t>Uchazeči (zejména v případě shody klíčové osoby v řešitelském týmu a v případě podobného zaměření návrhu projektu) jsou povinni uvést vlastní:</w:t>
      </w:r>
    </w:p>
    <w:p w:rsidR="00B73D5D" w:rsidRDefault="00B73D5D" w:rsidP="004540B9">
      <w:r>
        <w:t xml:space="preserve"> • ukončené projekty, pokud plánované výstupy/výsledky návrhu projektu na ně navazují, a tuto návaznost popsat; </w:t>
      </w:r>
    </w:p>
    <w:p w:rsidR="00B73D5D" w:rsidRDefault="00B73D5D" w:rsidP="004540B9">
      <w:r>
        <w:t>• aktuálně řešené související projekty a popsat odlišnosti mezi těmito projekty s návrhem projektu podávaným do této veřejné soutěže;</w:t>
      </w:r>
    </w:p>
    <w:p w:rsidR="00B73D5D" w:rsidRDefault="00B73D5D" w:rsidP="004540B9">
      <w:r>
        <w:t xml:space="preserve"> • návrhy projektů souběžně podávané do této či jiných veřejných soutěží, kdy by při současném podpoření nedocházelo </w:t>
      </w:r>
      <w:proofErr w:type="gramStart"/>
      <w:r>
        <w:t>k</w:t>
      </w:r>
      <w:proofErr w:type="gramEnd"/>
      <w:r>
        <w:t xml:space="preserve"> dvojímu financování. V tomto případě je nutné popsat odlišnosti mezi těmito projekty; </w:t>
      </w:r>
    </w:p>
    <w:p w:rsidR="00B73D5D" w:rsidRDefault="00B73D5D" w:rsidP="004540B9">
      <w:r>
        <w:t xml:space="preserve">• návrhy projektů souběžně podávané do této či jiných veřejných soutěží, kdy by při současném podpoření docházelo </w:t>
      </w:r>
      <w:proofErr w:type="gramStart"/>
      <w:r>
        <w:t>k</w:t>
      </w:r>
      <w:proofErr w:type="gramEnd"/>
      <w:r>
        <w:t xml:space="preserve"> dvojímu financování.</w:t>
      </w:r>
      <w:r w:rsidR="00534E40">
        <w:t xml:space="preserve"> </w:t>
      </w:r>
      <w:r>
        <w:t xml:space="preserve">V tomto případě je nutné uvést, že bude uzavřena pouze jedna smlouva o poskytnutí podpory a tento závazek dodržet. </w:t>
      </w:r>
    </w:p>
    <w:p w:rsidR="00AA343B" w:rsidRDefault="00B73D5D" w:rsidP="004540B9">
      <w:r>
        <w:t>Pokud neexistují takové projekty, ke kterým se vztahuje povinnost vymezení, výslovně tuto skutečnost uveďte.</w:t>
      </w:r>
    </w:p>
    <w:p w:rsidR="00B73D5D" w:rsidRPr="000036D5" w:rsidRDefault="00B73D5D" w:rsidP="004540B9">
      <w:pPr>
        <w:rPr>
          <w:b/>
        </w:rPr>
      </w:pPr>
    </w:p>
    <w:p w:rsidR="004129C7" w:rsidRPr="00E143FA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Návrh projektu:</w:t>
      </w:r>
    </w:p>
    <w:p w:rsidR="004129C7" w:rsidRDefault="004129C7" w:rsidP="005A485D">
      <w:pPr>
        <w:jc w:val="both"/>
      </w:pPr>
      <w:r>
        <w:t xml:space="preserve">Návrh projektu musí být do veřejné soutěže podán v elektronické podobě prostřednictvím ISTA. </w:t>
      </w:r>
    </w:p>
    <w:p w:rsidR="004129C7" w:rsidRDefault="004129C7" w:rsidP="005A485D">
      <w:pPr>
        <w:jc w:val="both"/>
      </w:pPr>
      <w:r>
        <w:t xml:space="preserve">Po podání návrhu projektu prostřednictvím ISTA vlastník návrhu projektu vygeneruje dokument „Potvrzení podání elektronického návrhu projektu do ISTA”. </w:t>
      </w:r>
    </w:p>
    <w:p w:rsidR="00697433" w:rsidRDefault="004129C7" w:rsidP="005A485D">
      <w:pPr>
        <w:jc w:val="both"/>
      </w:pPr>
      <w:r>
        <w:t xml:space="preserve">Tento dokument obsahuje jednoznačné identifikátory, které musí být shodné s elektronicky odeslaným návrhem projektu. </w:t>
      </w:r>
    </w:p>
    <w:p w:rsidR="004129C7" w:rsidRPr="001F1840" w:rsidRDefault="004129C7" w:rsidP="005A485D">
      <w:pPr>
        <w:jc w:val="both"/>
        <w:rPr>
          <w:b/>
        </w:rPr>
      </w:pPr>
      <w:r w:rsidRPr="001F1840">
        <w:rPr>
          <w:b/>
        </w:rPr>
        <w:t xml:space="preserve">Potvrzení podání elektronického návrhu projektu do ISTA: </w:t>
      </w:r>
    </w:p>
    <w:p w:rsidR="004129C7" w:rsidRPr="001F1840" w:rsidRDefault="004129C7" w:rsidP="005A485D">
      <w:pPr>
        <w:jc w:val="both"/>
        <w:rPr>
          <w:b/>
        </w:rPr>
      </w:pPr>
      <w:r w:rsidRPr="001F1840">
        <w:t xml:space="preserve">• </w:t>
      </w:r>
      <w:r w:rsidRPr="001F1840">
        <w:rPr>
          <w:b/>
        </w:rPr>
        <w:t xml:space="preserve">musí být odesláno z datové schránky hlavního uchazeče do datové schránky TA ČR (ID datové schránky: afth9xp); </w:t>
      </w:r>
    </w:p>
    <w:p w:rsidR="00697433" w:rsidRPr="0064710B" w:rsidRDefault="004129C7" w:rsidP="0064710B">
      <w:pPr>
        <w:jc w:val="both"/>
        <w:rPr>
          <w:b/>
        </w:rPr>
      </w:pPr>
      <w:r w:rsidRPr="001F1840">
        <w:rPr>
          <w:b/>
        </w:rPr>
        <w:t>• v náležitostech zprávy v datovém poli „Věc“ uveďte „Program TREND – Potvrzení podání“</w:t>
      </w:r>
    </w:p>
    <w:p w:rsidR="00697433" w:rsidRPr="00697433" w:rsidRDefault="00AB1970" w:rsidP="00697433">
      <w:pPr>
        <w:rPr>
          <w:b/>
          <w:color w:val="1F4E79" w:themeColor="accent1" w:themeShade="80"/>
          <w:sz w:val="28"/>
          <w:szCs w:val="28"/>
        </w:rPr>
      </w:pPr>
      <w:r w:rsidRPr="00697433">
        <w:rPr>
          <w:b/>
          <w:color w:val="1F4E79" w:themeColor="accent1" w:themeShade="80"/>
          <w:sz w:val="28"/>
          <w:szCs w:val="28"/>
        </w:rPr>
        <w:lastRenderedPageBreak/>
        <w:t xml:space="preserve">Náležitosti, které uchazeči dokládají prostřednictvím ISTA: </w:t>
      </w:r>
    </w:p>
    <w:p w:rsidR="00697433" w:rsidRDefault="00AB1970" w:rsidP="0057770F">
      <w:r w:rsidRPr="00697433">
        <w:t>• odborné</w:t>
      </w:r>
      <w:r>
        <w:t xml:space="preserve"> předpoklady k řešení projektu – vyplňují se u klíčových osob řešitelského týmu v části “Odborný životopis”. Každý hlavní uchazeč musí mít v návrhu projektu alespoň jednu osobu v roli řešitel a každý případný další účastník musí mít alespoň jednu osobu v roli další řešitel; </w:t>
      </w:r>
    </w:p>
    <w:p w:rsidR="00697433" w:rsidRDefault="00AB1970" w:rsidP="0057770F">
      <w:r>
        <w:t xml:space="preserve">• oprávnění k činnosti relevantní k plánovaným činnostem v návrhu projektu – do návrhu projektu se vkládá kopie (např. oprávnění k provádění biologického zkoušení, povolení výzkumu na lidských embryonálních kmenových buňkách); </w:t>
      </w:r>
    </w:p>
    <w:p w:rsidR="00697433" w:rsidRDefault="00AB1970" w:rsidP="0057770F">
      <w:r>
        <w:t xml:space="preserve">• vlastnická struktura za každého uchazeče – každý uchazeč musí uvést všechny koncové fyzické osoby, které mají podíl minimálně 10 % (pokud z právní formy uchazeče vyplývá, že nemá vlastnickou strukturu, tato povinnost se na něj nevztahuje). </w:t>
      </w:r>
    </w:p>
    <w:p w:rsidR="00E143FA" w:rsidRDefault="00AB1970" w:rsidP="0057770F">
      <w:r>
        <w:t>• finanční plán za hlavního uchazeče mladšího 18 měsíců (od data zápisu do Obchodního rejstříku do data podání návrhu projektu prostřednictvím ISTA) – hlavní uchazeč mladší 18 měsíců musí prokázat, že má zajištěné finanční krytí předkládaného návrhu projektu na své činnosti na celou dobu řešení projektu. Finanční plán se předkládá v jednoduché formě – roky, zdroje, příjmy, výdaje. Vzhledem k neexistující účetní historii by měl finanční plán obsahovat i záruky (bankovní, mateřské firmy, vlastníků, akcionářů atp.) v podobě písemného dobrozdání nebo čestného prohlášení.</w:t>
      </w:r>
    </w:p>
    <w:p w:rsidR="00697433" w:rsidRPr="0064710B" w:rsidRDefault="00697433" w:rsidP="0057770F">
      <w:pPr>
        <w:rPr>
          <w:b/>
          <w:color w:val="1F4E79" w:themeColor="accent1" w:themeShade="80"/>
        </w:rPr>
      </w:pPr>
    </w:p>
    <w:p w:rsidR="00435CD4" w:rsidRPr="00E143FA" w:rsidRDefault="003206E0" w:rsidP="00697433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Povinné přílohy:</w:t>
      </w:r>
    </w:p>
    <w:p w:rsidR="00435CD4" w:rsidRPr="00697433" w:rsidRDefault="00B73D5D" w:rsidP="00697433">
      <w:pPr>
        <w:jc w:val="both"/>
        <w:rPr>
          <w:b/>
        </w:rPr>
      </w:pPr>
      <w:r w:rsidRPr="00697433">
        <w:rPr>
          <w:b/>
        </w:rPr>
        <w:t xml:space="preserve">Jaké dokumenty dokládá uchazeč </w:t>
      </w:r>
      <w:r w:rsidR="00435CD4" w:rsidRPr="00697433">
        <w:rPr>
          <w:b/>
        </w:rPr>
        <w:t>(TAČR nebude vyzývat)</w:t>
      </w:r>
    </w:p>
    <w:p w:rsidR="00435CD4" w:rsidRPr="0064710B" w:rsidRDefault="00B73D5D" w:rsidP="00435CD4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64710B">
        <w:rPr>
          <w:b/>
        </w:rPr>
        <w:t xml:space="preserve">Prostřednictvím datové schránky: </w:t>
      </w:r>
    </w:p>
    <w:p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Potvrzení podání elektronického návrhu projektu do ISTA. </w:t>
      </w:r>
    </w:p>
    <w:p w:rsidR="00435CD4" w:rsidRPr="0064710B" w:rsidRDefault="00B73D5D" w:rsidP="00435CD4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64710B">
        <w:rPr>
          <w:b/>
        </w:rPr>
        <w:t xml:space="preserve">Prostřednictvím příloh v návrhu projektu do ISTA: </w:t>
      </w:r>
    </w:p>
    <w:p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1 - Osnova představení projektu; </w:t>
      </w:r>
    </w:p>
    <w:p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2 - Doložení uplatnění výsledků; </w:t>
      </w:r>
    </w:p>
    <w:p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3 - Vzorová tabulka ekonomických přínosů za hlavního uchazeče; </w:t>
      </w:r>
    </w:p>
    <w:p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V případě účasti dalšího účastníka ze </w:t>
      </w:r>
      <w:proofErr w:type="gramStart"/>
      <w:r>
        <w:t>zahraniční</w:t>
      </w:r>
      <w:r w:rsidR="00AB1970">
        <w:t xml:space="preserve"> -</w:t>
      </w:r>
      <w:r>
        <w:t xml:space="preserve"> údaje</w:t>
      </w:r>
      <w:proofErr w:type="gramEnd"/>
      <w:r>
        <w:t xml:space="preserve"> o skutečném majiteli zahraničního uchazeče. </w:t>
      </w:r>
    </w:p>
    <w:p w:rsidR="00435CD4" w:rsidRPr="00010C58" w:rsidRDefault="00B73D5D" w:rsidP="00435CD4">
      <w:pPr>
        <w:jc w:val="both"/>
        <w:rPr>
          <w:b/>
        </w:rPr>
      </w:pPr>
      <w:r w:rsidRPr="00010C58">
        <w:rPr>
          <w:b/>
        </w:rPr>
        <w:t xml:space="preserve">Jaké dokumenty dokládá uchazeč (TA ČR může vyzvat) </w:t>
      </w:r>
    </w:p>
    <w:p w:rsidR="00435CD4" w:rsidRPr="0064710B" w:rsidRDefault="00B73D5D" w:rsidP="00435CD4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64710B">
        <w:rPr>
          <w:b/>
        </w:rPr>
        <w:t xml:space="preserve">Prostřednictvím datové schránky: </w:t>
      </w:r>
    </w:p>
    <w:p w:rsidR="00435CD4" w:rsidRDefault="00B73D5D" w:rsidP="00AB1970">
      <w:pPr>
        <w:pStyle w:val="Odstavecseseznamem"/>
        <w:numPr>
          <w:ilvl w:val="0"/>
          <w:numId w:val="18"/>
        </w:numPr>
        <w:jc w:val="both"/>
      </w:pPr>
      <w:r>
        <w:t>Čestné prohlášení za uchazeče/</w:t>
      </w:r>
      <w:proofErr w:type="spellStart"/>
      <w:r>
        <w:t>Sworn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– dokládá každý uchazeč, tedy hlavní uchazeč i další účastník; </w:t>
      </w:r>
    </w:p>
    <w:p w:rsidR="00435CD4" w:rsidRDefault="00B73D5D" w:rsidP="00AB1970">
      <w:pPr>
        <w:pStyle w:val="Odstavecseseznamem"/>
        <w:numPr>
          <w:ilvl w:val="0"/>
          <w:numId w:val="18"/>
        </w:numPr>
        <w:jc w:val="both"/>
      </w:pPr>
      <w:r>
        <w:t xml:space="preserve">Čestné prohlášení za hlavního uchazeče – dokládá pouze hlavní uchazeč. </w:t>
      </w:r>
    </w:p>
    <w:p w:rsidR="00435CD4" w:rsidRPr="0064710B" w:rsidRDefault="00B73D5D" w:rsidP="00435CD4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64710B">
        <w:rPr>
          <w:b/>
        </w:rPr>
        <w:t xml:space="preserve">Prostřednictvím příloh v návrhu projektu do ISTA: </w:t>
      </w:r>
    </w:p>
    <w:p w:rsidR="00435CD4" w:rsidRDefault="00B73D5D" w:rsidP="00AB1970">
      <w:pPr>
        <w:pStyle w:val="Odstavecseseznamem"/>
        <w:numPr>
          <w:ilvl w:val="0"/>
          <w:numId w:val="18"/>
        </w:numPr>
        <w:jc w:val="both"/>
      </w:pPr>
      <w:r>
        <w:t xml:space="preserve">účetní závěrky za roky 2019, 2020, 2021 včetně potvrzení o zaslání na rejstříkový soud, pokud ještě nedošlo k jejich zveřejnění (pouze v případě, že zveřejnění účetních závěrek ukládá příslušný zákon); </w:t>
      </w:r>
    </w:p>
    <w:p w:rsidR="00612B2F" w:rsidRDefault="00B73D5D" w:rsidP="00AB1970">
      <w:pPr>
        <w:pStyle w:val="Odstavecseseznamem"/>
        <w:numPr>
          <w:ilvl w:val="0"/>
          <w:numId w:val="18"/>
        </w:numPr>
        <w:jc w:val="both"/>
      </w:pPr>
      <w:r>
        <w:t>čestné prohlášení dalšího zahraničního účastníka, které bude obsahovat finanční položky potřebné k výpočtu podniku v obtížích za roky 2019, 2020 a 2021. Přikládá se do příloh návrhu projektu v ISTA. Pokud nebudou doloženy výše uvedené dokumenty, TA ČR uchazeče vyzve k jejich doložení dle § 21 odst. 9 ZPVV.</w:t>
      </w:r>
    </w:p>
    <w:p w:rsidR="00B73D5D" w:rsidRDefault="00B73D5D" w:rsidP="00697433">
      <w:pPr>
        <w:pStyle w:val="Default"/>
        <w:jc w:val="both"/>
        <w:rPr>
          <w:b/>
          <w:bCs/>
          <w:sz w:val="22"/>
          <w:szCs w:val="22"/>
        </w:rPr>
      </w:pPr>
    </w:p>
    <w:p w:rsidR="00563DF1" w:rsidRDefault="00563DF1" w:rsidP="005A485D">
      <w:pPr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lastRenderedPageBreak/>
        <w:t>Hodnocení:</w:t>
      </w:r>
    </w:p>
    <w:p w:rsidR="00AB1970" w:rsidRDefault="00AB1970" w:rsidP="005A485D">
      <w:pPr>
        <w:jc w:val="both"/>
      </w:pPr>
      <w:r>
        <w:t xml:space="preserve">Každý návrh projektu, který je přijat do veřejné soutěže, tzn. úspěšně prošel formální kontrolou, budou postupně hodnotit: </w:t>
      </w:r>
    </w:p>
    <w:p w:rsidR="00AB1970" w:rsidRPr="00AB1970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oponenti; </w:t>
      </w:r>
    </w:p>
    <w:p w:rsidR="00AB1970" w:rsidRPr="00AB1970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zpravodaj; </w:t>
      </w:r>
    </w:p>
    <w:p w:rsidR="00AB1970" w:rsidRPr="00AB1970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odborný poradní orgán. </w:t>
      </w:r>
    </w:p>
    <w:p w:rsidR="00AB1970" w:rsidRPr="00AB1970" w:rsidRDefault="00AB1970" w:rsidP="00AB1970">
      <w:pPr>
        <w:jc w:val="both"/>
        <w:rPr>
          <w:b/>
          <w:color w:val="1F4E79" w:themeColor="accent1" w:themeShade="80"/>
          <w:sz w:val="28"/>
          <w:szCs w:val="28"/>
        </w:rPr>
      </w:pPr>
      <w:r>
        <w:t>Předsednictvo TA ČR následně rozhodne o výběru návrhů projektů ve veřejné soutěži.</w:t>
      </w:r>
    </w:p>
    <w:p w:rsidR="00563DF1" w:rsidRDefault="002613EA" w:rsidP="005A485D">
      <w:pPr>
        <w:jc w:val="both"/>
      </w:pPr>
      <w:r w:rsidRPr="00C73306">
        <w:t xml:space="preserve">Pro hodnocení návrhů projektů je stanoveno </w:t>
      </w:r>
      <w:r w:rsidR="00AB1970">
        <w:t>5</w:t>
      </w:r>
      <w:r w:rsidRPr="00C73306">
        <w:t xml:space="preserve"> binárních kritérií</w:t>
      </w:r>
      <w:r w:rsidR="00531DCA" w:rsidRPr="00C73306">
        <w:t>,</w:t>
      </w:r>
      <w:r w:rsidRPr="00C73306">
        <w:t xml:space="preserve"> </w:t>
      </w:r>
      <w:r w:rsidR="00531DCA" w:rsidRPr="00C73306">
        <w:t>8</w:t>
      </w:r>
      <w:r w:rsidRPr="00C73306">
        <w:t xml:space="preserve"> bodovaných kritérií</w:t>
      </w:r>
      <w:r w:rsidR="00AB1970">
        <w:t xml:space="preserve"> a 2 bonifikační kritéria.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593"/>
    <w:multiLevelType w:val="hybridMultilevel"/>
    <w:tmpl w:val="D2F243D6"/>
    <w:lvl w:ilvl="0" w:tplc="A2AC48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1336"/>
    <w:multiLevelType w:val="hybridMultilevel"/>
    <w:tmpl w:val="F876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49F"/>
    <w:multiLevelType w:val="hybridMultilevel"/>
    <w:tmpl w:val="33F0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E075D"/>
    <w:multiLevelType w:val="hybridMultilevel"/>
    <w:tmpl w:val="28BE7ED6"/>
    <w:lvl w:ilvl="0" w:tplc="7B668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36D5"/>
    <w:rsid w:val="000059FC"/>
    <w:rsid w:val="00005F8C"/>
    <w:rsid w:val="00010C58"/>
    <w:rsid w:val="0003137D"/>
    <w:rsid w:val="000A3AC2"/>
    <w:rsid w:val="000C6166"/>
    <w:rsid w:val="000D25EF"/>
    <w:rsid w:val="00103A81"/>
    <w:rsid w:val="00144FEB"/>
    <w:rsid w:val="00181A5F"/>
    <w:rsid w:val="001923C1"/>
    <w:rsid w:val="001B39D0"/>
    <w:rsid w:val="001C02BC"/>
    <w:rsid w:val="001F1840"/>
    <w:rsid w:val="00224459"/>
    <w:rsid w:val="0023715B"/>
    <w:rsid w:val="002613EA"/>
    <w:rsid w:val="00275400"/>
    <w:rsid w:val="00294A46"/>
    <w:rsid w:val="002B225D"/>
    <w:rsid w:val="002E1ECA"/>
    <w:rsid w:val="0030289D"/>
    <w:rsid w:val="00307BC1"/>
    <w:rsid w:val="003145D6"/>
    <w:rsid w:val="003206E0"/>
    <w:rsid w:val="00340F1D"/>
    <w:rsid w:val="004129C7"/>
    <w:rsid w:val="00415969"/>
    <w:rsid w:val="00435CD4"/>
    <w:rsid w:val="0044320D"/>
    <w:rsid w:val="004540B9"/>
    <w:rsid w:val="004C6AED"/>
    <w:rsid w:val="00525099"/>
    <w:rsid w:val="00531DCA"/>
    <w:rsid w:val="00534E40"/>
    <w:rsid w:val="00557E9F"/>
    <w:rsid w:val="00563DF1"/>
    <w:rsid w:val="0057770F"/>
    <w:rsid w:val="005A37C6"/>
    <w:rsid w:val="005A485D"/>
    <w:rsid w:val="005D3618"/>
    <w:rsid w:val="006037FE"/>
    <w:rsid w:val="00606286"/>
    <w:rsid w:val="00612B2F"/>
    <w:rsid w:val="00614A99"/>
    <w:rsid w:val="0064710B"/>
    <w:rsid w:val="00647EBB"/>
    <w:rsid w:val="00697433"/>
    <w:rsid w:val="006B2816"/>
    <w:rsid w:val="006B5E9F"/>
    <w:rsid w:val="006E0536"/>
    <w:rsid w:val="0074217B"/>
    <w:rsid w:val="00774823"/>
    <w:rsid w:val="0079790B"/>
    <w:rsid w:val="007C2781"/>
    <w:rsid w:val="007D2E24"/>
    <w:rsid w:val="0080292A"/>
    <w:rsid w:val="00850853"/>
    <w:rsid w:val="00894BEB"/>
    <w:rsid w:val="008956D6"/>
    <w:rsid w:val="008B6889"/>
    <w:rsid w:val="009D66C6"/>
    <w:rsid w:val="00AA343B"/>
    <w:rsid w:val="00AB1970"/>
    <w:rsid w:val="00AB60CA"/>
    <w:rsid w:val="00AF2878"/>
    <w:rsid w:val="00B61AEF"/>
    <w:rsid w:val="00B73D5D"/>
    <w:rsid w:val="00BF0F25"/>
    <w:rsid w:val="00C10D9F"/>
    <w:rsid w:val="00C73306"/>
    <w:rsid w:val="00CA4F6F"/>
    <w:rsid w:val="00CC39C8"/>
    <w:rsid w:val="00D14577"/>
    <w:rsid w:val="00D66035"/>
    <w:rsid w:val="00D70187"/>
    <w:rsid w:val="00D704E8"/>
    <w:rsid w:val="00E143FA"/>
    <w:rsid w:val="00E656CA"/>
    <w:rsid w:val="00E85E82"/>
    <w:rsid w:val="00E96464"/>
    <w:rsid w:val="00EB3EF0"/>
    <w:rsid w:val="00F148C0"/>
    <w:rsid w:val="00F55C70"/>
    <w:rsid w:val="00F95735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soutez/program-trend/devata-verejna-soute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lcerova@vutb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Štěpánová Zita (131465)</cp:lastModifiedBy>
  <cp:revision>2</cp:revision>
  <dcterms:created xsi:type="dcterms:W3CDTF">2022-11-28T08:59:00Z</dcterms:created>
  <dcterms:modified xsi:type="dcterms:W3CDTF">2022-11-28T08:59:00Z</dcterms:modified>
</cp:coreProperties>
</file>