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CA" w:rsidRPr="0074217B" w:rsidRDefault="002F21BE" w:rsidP="00A863FE">
      <w:pPr>
        <w:spacing w:after="0" w:line="240" w:lineRule="auto"/>
        <w:ind w:left="142"/>
        <w:jc w:val="both"/>
        <w:rPr>
          <w:b/>
          <w:color w:val="2F5496" w:themeColor="accent5" w:themeShade="BF"/>
          <w:sz w:val="36"/>
          <w:szCs w:val="36"/>
        </w:rPr>
      </w:pPr>
      <w:bookmarkStart w:id="0" w:name="_GoBack"/>
      <w:bookmarkEnd w:id="0"/>
      <w:r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>1</w:t>
      </w:r>
      <w:r w:rsid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 xml:space="preserve">. </w:t>
      </w:r>
      <w:r w:rsidR="0057770F" w:rsidRP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 xml:space="preserve">veřejná soutěž </w:t>
      </w:r>
      <w:r w:rsidR="00AB60CA" w:rsidRP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 xml:space="preserve">- Program </w:t>
      </w:r>
      <w:r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>SIGMA</w:t>
      </w:r>
    </w:p>
    <w:p w:rsidR="0057770F" w:rsidRPr="001923C1" w:rsidRDefault="0057770F" w:rsidP="00A863FE">
      <w:pPr>
        <w:spacing w:after="0" w:line="240" w:lineRule="auto"/>
        <w:rPr>
          <w:i/>
          <w:color w:val="2E74B5" w:themeColor="accent1" w:themeShade="BF"/>
        </w:rPr>
      </w:pPr>
    </w:p>
    <w:p w:rsidR="0057770F" w:rsidRDefault="0057770F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1923C1">
        <w:rPr>
          <w:b/>
          <w:color w:val="1F4E79" w:themeColor="accent1" w:themeShade="80"/>
          <w:sz w:val="28"/>
          <w:szCs w:val="28"/>
        </w:rPr>
        <w:t>Důležité termíny:</w:t>
      </w:r>
    </w:p>
    <w:p w:rsidR="00A863FE" w:rsidRPr="001923C1" w:rsidRDefault="00A863FE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57770F" w:rsidRPr="001923C1" w:rsidRDefault="0057770F" w:rsidP="00A863FE">
      <w:pPr>
        <w:spacing w:after="0" w:line="240" w:lineRule="auto"/>
        <w:rPr>
          <w:b/>
        </w:rPr>
      </w:pPr>
      <w:r w:rsidRPr="001923C1">
        <w:t>Soutěžní lhůta začíná</w:t>
      </w:r>
      <w:r w:rsidR="00AB60CA" w:rsidRPr="001923C1">
        <w:t xml:space="preserve"> </w:t>
      </w:r>
      <w:r w:rsidR="002F21BE">
        <w:rPr>
          <w:b/>
        </w:rPr>
        <w:t>27</w:t>
      </w:r>
      <w:r w:rsidR="00647EBB">
        <w:rPr>
          <w:b/>
        </w:rPr>
        <w:t xml:space="preserve">. </w:t>
      </w:r>
      <w:r w:rsidR="00E96464">
        <w:rPr>
          <w:b/>
        </w:rPr>
        <w:t>10</w:t>
      </w:r>
      <w:r w:rsidR="00647EBB">
        <w:rPr>
          <w:b/>
        </w:rPr>
        <w:t>. 2022</w:t>
      </w:r>
    </w:p>
    <w:p w:rsidR="00A863FE" w:rsidRDefault="0057770F" w:rsidP="00A863FE">
      <w:pPr>
        <w:spacing w:after="0" w:line="240" w:lineRule="auto"/>
      </w:pPr>
      <w:r w:rsidRPr="001923C1">
        <w:t xml:space="preserve">Soutěžní lhůta končí: </w:t>
      </w:r>
      <w:r w:rsidR="002F21BE" w:rsidRPr="00A863FE">
        <w:rPr>
          <w:b/>
        </w:rPr>
        <w:t>14.12.2022</w:t>
      </w:r>
      <w:r w:rsidR="00A863FE" w:rsidRPr="00A863FE">
        <w:t xml:space="preserve"> </w:t>
      </w:r>
    </w:p>
    <w:p w:rsidR="00A863FE" w:rsidRPr="00A863FE" w:rsidRDefault="00A863FE" w:rsidP="00A863FE">
      <w:pPr>
        <w:spacing w:after="0" w:line="240" w:lineRule="auto"/>
        <w:rPr>
          <w:b/>
          <w:i/>
          <w:sz w:val="20"/>
        </w:rPr>
      </w:pPr>
      <w:r w:rsidRPr="00A863FE">
        <w:rPr>
          <w:b/>
          <w:i/>
          <w:sz w:val="20"/>
        </w:rPr>
        <w:t>16:29:59 hod. – nejzazší možný okamžik pro podání návrhu projektu prostřednictvím informačního systému </w:t>
      </w:r>
      <w:hyperlink r:id="rId5" w:history="1">
        <w:r w:rsidRPr="00A863FE">
          <w:rPr>
            <w:b/>
            <w:i/>
            <w:sz w:val="20"/>
          </w:rPr>
          <w:t>ISTA</w:t>
        </w:r>
      </w:hyperlink>
      <w:r w:rsidRPr="00A863FE">
        <w:rPr>
          <w:b/>
          <w:i/>
          <w:sz w:val="20"/>
        </w:rPr>
        <w:t>;</w:t>
      </w:r>
    </w:p>
    <w:p w:rsidR="0057770F" w:rsidRPr="00A863FE" w:rsidRDefault="00A863FE" w:rsidP="00A863FE">
      <w:pPr>
        <w:spacing w:after="0" w:line="240" w:lineRule="auto"/>
        <w:rPr>
          <w:b/>
          <w:i/>
          <w:sz w:val="20"/>
        </w:rPr>
      </w:pPr>
      <w:r w:rsidRPr="00A863FE">
        <w:rPr>
          <w:b/>
          <w:i/>
          <w:sz w:val="20"/>
        </w:rPr>
        <w:t>23:59:59 hod. – pro zaslání následujících dokumentů prostřednictvím své datové schránky - Potvrzení podání elektronického návrhu projektu (zasílá hlavní uchazeč) a Dokladů k prokázání způsobilosti (zasílá každý uchazeč samostatně).</w:t>
      </w:r>
    </w:p>
    <w:p w:rsidR="00894BEB" w:rsidRPr="00774823" w:rsidRDefault="00894BEB" w:rsidP="00A863FE">
      <w:pPr>
        <w:spacing w:after="0" w:line="240" w:lineRule="auto"/>
        <w:rPr>
          <w:b/>
        </w:rPr>
      </w:pPr>
      <w:r w:rsidRPr="00774823">
        <w:t>Vyhlášení výsledků soutěže:</w:t>
      </w:r>
      <w:r w:rsidRPr="00774823">
        <w:rPr>
          <w:b/>
        </w:rPr>
        <w:t xml:space="preserve"> </w:t>
      </w:r>
      <w:r w:rsidR="002F21BE">
        <w:rPr>
          <w:b/>
        </w:rPr>
        <w:t>srpen</w:t>
      </w:r>
      <w:r w:rsidR="00E96464">
        <w:rPr>
          <w:b/>
        </w:rPr>
        <w:t xml:space="preserve"> </w:t>
      </w:r>
      <w:r w:rsidR="00647EBB">
        <w:rPr>
          <w:b/>
        </w:rPr>
        <w:t>202</w:t>
      </w:r>
      <w:r w:rsidR="00E96464">
        <w:rPr>
          <w:b/>
        </w:rPr>
        <w:t>3</w:t>
      </w:r>
    </w:p>
    <w:p w:rsidR="00894BEB" w:rsidRPr="00774823" w:rsidRDefault="00894BEB" w:rsidP="00A863FE">
      <w:pPr>
        <w:spacing w:after="0" w:line="240" w:lineRule="auto"/>
        <w:rPr>
          <w:b/>
        </w:rPr>
      </w:pPr>
      <w:r w:rsidRPr="00774823">
        <w:t>Zahájení řešení projektu:</w:t>
      </w:r>
      <w:r w:rsidRPr="00774823">
        <w:rPr>
          <w:b/>
        </w:rPr>
        <w:t xml:space="preserve"> 1. </w:t>
      </w:r>
      <w:r w:rsidR="00E96464">
        <w:rPr>
          <w:b/>
        </w:rPr>
        <w:t>6</w:t>
      </w:r>
      <w:r w:rsidRPr="00774823">
        <w:rPr>
          <w:b/>
        </w:rPr>
        <w:t xml:space="preserve">. – </w:t>
      </w:r>
      <w:r w:rsidR="00614A99">
        <w:rPr>
          <w:b/>
        </w:rPr>
        <w:t>1.</w:t>
      </w:r>
      <w:r w:rsidR="002F21BE">
        <w:rPr>
          <w:b/>
        </w:rPr>
        <w:t>9</w:t>
      </w:r>
      <w:r w:rsidR="00614A99">
        <w:rPr>
          <w:b/>
        </w:rPr>
        <w:t>.</w:t>
      </w:r>
      <w:r w:rsidRPr="00774823">
        <w:rPr>
          <w:b/>
        </w:rPr>
        <w:t xml:space="preserve"> 202</w:t>
      </w:r>
      <w:r w:rsidR="00647EBB">
        <w:rPr>
          <w:b/>
        </w:rPr>
        <w:t>3</w:t>
      </w:r>
    </w:p>
    <w:p w:rsidR="00894BEB" w:rsidRPr="002F21BE" w:rsidRDefault="00894BEB" w:rsidP="00A863FE">
      <w:pPr>
        <w:spacing w:after="0" w:line="240" w:lineRule="auto"/>
        <w:rPr>
          <w:b/>
        </w:rPr>
      </w:pPr>
      <w:r w:rsidRPr="00614A99">
        <w:t>Nejzazší termín ukončení řešení projek</w:t>
      </w:r>
      <w:r w:rsidRPr="002F21BE">
        <w:t>tu:</w:t>
      </w:r>
      <w:r w:rsidR="0003137D" w:rsidRPr="002F21BE">
        <w:t xml:space="preserve"> </w:t>
      </w:r>
      <w:r w:rsidR="002F21BE" w:rsidRPr="002F21BE">
        <w:rPr>
          <w:b/>
        </w:rPr>
        <w:t>listopad</w:t>
      </w:r>
      <w:r w:rsidR="005A37C6" w:rsidRPr="002F21BE">
        <w:rPr>
          <w:b/>
        </w:rPr>
        <w:t xml:space="preserve"> 202</w:t>
      </w:r>
      <w:r w:rsidR="002F21BE" w:rsidRPr="002F21BE">
        <w:rPr>
          <w:b/>
        </w:rPr>
        <w:t>6</w:t>
      </w:r>
    </w:p>
    <w:p w:rsidR="00894BEB" w:rsidRPr="00774823" w:rsidRDefault="00894BEB" w:rsidP="00A863FE">
      <w:pPr>
        <w:spacing w:after="0" w:line="240" w:lineRule="auto"/>
        <w:rPr>
          <w:b/>
        </w:rPr>
      </w:pPr>
      <w:r w:rsidRPr="002F21BE">
        <w:t>Délka řešení projektu:</w:t>
      </w:r>
      <w:r w:rsidRPr="002F21BE">
        <w:rPr>
          <w:b/>
        </w:rPr>
        <w:t xml:space="preserve"> 12 – </w:t>
      </w:r>
      <w:proofErr w:type="gramStart"/>
      <w:r w:rsidR="002F21BE" w:rsidRPr="002F21BE">
        <w:rPr>
          <w:b/>
        </w:rPr>
        <w:t xml:space="preserve">24 </w:t>
      </w:r>
      <w:r w:rsidRPr="002F21BE">
        <w:rPr>
          <w:b/>
        </w:rPr>
        <w:t xml:space="preserve"> měsíců</w:t>
      </w:r>
      <w:proofErr w:type="gramEnd"/>
    </w:p>
    <w:p w:rsidR="0057770F" w:rsidRPr="001923C1" w:rsidRDefault="0057770F" w:rsidP="00A863FE">
      <w:pPr>
        <w:spacing w:after="0" w:line="240" w:lineRule="auto"/>
        <w:rPr>
          <w:b/>
          <w:highlight w:val="yellow"/>
        </w:rPr>
      </w:pPr>
    </w:p>
    <w:p w:rsidR="00531DCA" w:rsidRDefault="00531DCA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Kontaktní osoby:</w:t>
      </w:r>
    </w:p>
    <w:p w:rsidR="00A863FE" w:rsidRDefault="00A863FE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531DCA" w:rsidRDefault="00531DCA" w:rsidP="00A863FE">
      <w:pPr>
        <w:spacing w:after="0" w:line="240" w:lineRule="auto"/>
        <w:rPr>
          <w:b/>
        </w:rPr>
      </w:pPr>
      <w:r>
        <w:rPr>
          <w:b/>
        </w:rPr>
        <w:t xml:space="preserve">Soutěž TAČR na VUT Brno – Ing. </w:t>
      </w:r>
      <w:r w:rsidR="00E96464">
        <w:rPr>
          <w:b/>
        </w:rPr>
        <w:t>Veronika Pilcerová</w:t>
      </w:r>
      <w:r>
        <w:rPr>
          <w:b/>
        </w:rPr>
        <w:t xml:space="preserve"> (</w:t>
      </w:r>
      <w:hyperlink r:id="rId6" w:history="1">
        <w:r w:rsidR="00E96464" w:rsidRPr="00CC21A4">
          <w:rPr>
            <w:rStyle w:val="Hypertextovodkaz"/>
            <w:b/>
          </w:rPr>
          <w:t>pilcerova@vutbr.cz</w:t>
        </w:r>
      </w:hyperlink>
      <w:r>
        <w:rPr>
          <w:b/>
        </w:rPr>
        <w:t>, kl. 5237)</w:t>
      </w:r>
    </w:p>
    <w:p w:rsidR="00531DCA" w:rsidRDefault="00531DCA" w:rsidP="00A863FE">
      <w:pPr>
        <w:spacing w:after="0" w:line="240" w:lineRule="auto"/>
        <w:rPr>
          <w:b/>
        </w:rPr>
      </w:pPr>
      <w:r>
        <w:rPr>
          <w:b/>
        </w:rPr>
        <w:t xml:space="preserve">Duševní vlastnictví, konzultace smlouvy mezi uchazeči, </w:t>
      </w:r>
      <w:proofErr w:type="spellStart"/>
      <w:r>
        <w:rPr>
          <w:b/>
        </w:rPr>
        <w:t>Letter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intent</w:t>
      </w:r>
      <w:proofErr w:type="spellEnd"/>
      <w:r>
        <w:rPr>
          <w:b/>
        </w:rPr>
        <w:t xml:space="preserve"> – OTT – </w:t>
      </w:r>
      <w:r w:rsidR="005A37C6">
        <w:rPr>
          <w:b/>
        </w:rPr>
        <w:t>Mgr. Michaela Daňková</w:t>
      </w:r>
      <w:r>
        <w:rPr>
          <w:b/>
        </w:rPr>
        <w:t xml:space="preserve"> (</w:t>
      </w:r>
      <w:hyperlink r:id="rId7" w:history="1">
        <w:r w:rsidR="005A37C6" w:rsidRPr="00626B61">
          <w:rPr>
            <w:rStyle w:val="Hypertextovodkaz"/>
            <w:b/>
          </w:rPr>
          <w:t>dankovam@vutbr.cz</w:t>
        </w:r>
      </w:hyperlink>
      <w:r>
        <w:rPr>
          <w:b/>
        </w:rPr>
        <w:t>, kl. 422</w:t>
      </w:r>
      <w:r w:rsidR="005A37C6">
        <w:rPr>
          <w:b/>
        </w:rPr>
        <w:t>8</w:t>
      </w:r>
      <w:r>
        <w:rPr>
          <w:b/>
        </w:rPr>
        <w:t>)</w:t>
      </w:r>
    </w:p>
    <w:p w:rsidR="00531DCA" w:rsidRDefault="00531DCA" w:rsidP="00A863FE">
      <w:pPr>
        <w:spacing w:after="0" w:line="240" w:lineRule="auto"/>
        <w:rPr>
          <w:b/>
        </w:rPr>
      </w:pPr>
      <w:r>
        <w:rPr>
          <w:b/>
        </w:rPr>
        <w:t>Otázka DPH v projektech TAČR – Ing. Romana Sasková (</w:t>
      </w:r>
      <w:hyperlink r:id="rId8" w:history="1">
        <w:r w:rsidRPr="00882517">
          <w:rPr>
            <w:rStyle w:val="Hypertextovodkaz"/>
            <w:b/>
          </w:rPr>
          <w:t>saskova@vutbr.cz</w:t>
        </w:r>
      </w:hyperlink>
      <w:r>
        <w:rPr>
          <w:b/>
        </w:rPr>
        <w:t>, kl. 5356)</w:t>
      </w:r>
    </w:p>
    <w:p w:rsidR="00531DCA" w:rsidRPr="00E656CA" w:rsidRDefault="00531DCA" w:rsidP="00A863FE">
      <w:pPr>
        <w:spacing w:after="0" w:line="240" w:lineRule="auto"/>
        <w:rPr>
          <w:b/>
        </w:rPr>
      </w:pPr>
      <w:r w:rsidRPr="00E656CA">
        <w:rPr>
          <w:b/>
        </w:rPr>
        <w:t xml:space="preserve">Zadání do APOLLA pod programem financování: </w:t>
      </w:r>
      <w:r w:rsidR="0083332B">
        <w:rPr>
          <w:b/>
        </w:rPr>
        <w:t>TQ010</w:t>
      </w:r>
    </w:p>
    <w:p w:rsidR="00531DCA" w:rsidRPr="00A863FE" w:rsidRDefault="00531DCA" w:rsidP="00A863FE">
      <w:pPr>
        <w:spacing w:after="0" w:line="240" w:lineRule="auto"/>
        <w:rPr>
          <w:b/>
          <w:color w:val="1F4E79" w:themeColor="accent1" w:themeShade="80"/>
          <w:szCs w:val="28"/>
        </w:rPr>
      </w:pPr>
    </w:p>
    <w:p w:rsidR="00C10D9F" w:rsidRDefault="00C10D9F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774823">
        <w:rPr>
          <w:b/>
          <w:color w:val="1F4E79" w:themeColor="accent1" w:themeShade="80"/>
          <w:sz w:val="28"/>
          <w:szCs w:val="28"/>
        </w:rPr>
        <w:t>Odkaz na soutěž:</w:t>
      </w:r>
    </w:p>
    <w:p w:rsidR="00A863FE" w:rsidRPr="00774823" w:rsidRDefault="00A863FE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E96464" w:rsidRDefault="00846003" w:rsidP="00A863FE">
      <w:pPr>
        <w:spacing w:after="0" w:line="240" w:lineRule="auto"/>
      </w:pPr>
      <w:hyperlink r:id="rId9" w:history="1">
        <w:r w:rsidR="002F21BE" w:rsidRPr="00333A55">
          <w:rPr>
            <w:rStyle w:val="Hypertextovodkaz"/>
          </w:rPr>
          <w:t>https://www.tacr.cz/soutez/program-sigma/verejna-soutez-dilci-cil-3-podpora-inovacniho-potencialu-spolecenskych-ved-humanitnich-ved-a-umeni-shuv/</w:t>
        </w:r>
      </w:hyperlink>
      <w:r w:rsidR="002F21BE">
        <w:t xml:space="preserve"> </w:t>
      </w:r>
    </w:p>
    <w:p w:rsidR="002F21BE" w:rsidRPr="00A863FE" w:rsidRDefault="002F21BE" w:rsidP="00A863FE">
      <w:pPr>
        <w:spacing w:after="0" w:line="240" w:lineRule="auto"/>
        <w:rPr>
          <w:b/>
          <w:color w:val="1F4E79" w:themeColor="accent1" w:themeShade="80"/>
          <w:szCs w:val="28"/>
        </w:rPr>
      </w:pPr>
    </w:p>
    <w:p w:rsidR="00774823" w:rsidRDefault="00774823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774823">
        <w:rPr>
          <w:b/>
          <w:color w:val="1F4E79" w:themeColor="accent1" w:themeShade="80"/>
          <w:sz w:val="28"/>
          <w:szCs w:val="28"/>
        </w:rPr>
        <w:t>Zaměření programu:</w:t>
      </w:r>
    </w:p>
    <w:p w:rsidR="00F7228A" w:rsidRDefault="002F21BE" w:rsidP="00A863FE">
      <w:pPr>
        <w:spacing w:after="0" w:line="240" w:lineRule="auto"/>
        <w:jc w:val="both"/>
      </w:pPr>
      <w:r>
        <w:t xml:space="preserve">Dílčí cíl 3: Podpora inovačního potenciálu společenských věd, humanitních věd a umění byla stanovena 3 hlavní témata (Odolnost společnosti, Vzdělávání a uplatnění, Udržitelnost) a dále ke každému z nich podtémata. </w:t>
      </w:r>
    </w:p>
    <w:p w:rsidR="003D709A" w:rsidRDefault="003D709A" w:rsidP="00A863FE">
      <w:pPr>
        <w:spacing w:after="0" w:line="240" w:lineRule="auto"/>
        <w:jc w:val="both"/>
      </w:pPr>
    </w:p>
    <w:p w:rsidR="002B225D" w:rsidRDefault="002F21BE" w:rsidP="00A863FE">
      <w:pPr>
        <w:spacing w:after="0" w:line="240" w:lineRule="auto"/>
        <w:jc w:val="both"/>
        <w:rPr>
          <w:b/>
          <w:color w:val="1F4E79" w:themeColor="accent1" w:themeShade="80"/>
          <w:sz w:val="28"/>
          <w:szCs w:val="28"/>
        </w:rPr>
      </w:pPr>
      <w:r>
        <w:t xml:space="preserve">Uchazeči si v návrhu projektu zvolí právě jedno hlavní téma a dále jedno podtéma ze zvoleného hlavního tématu. Dále uchazeči v návrhu projektu popíší, jak jejich návrh projektu toto zaměření naplňuje. Jedná se o následující témata a podtémata – viz </w:t>
      </w:r>
      <w:hyperlink r:id="rId10" w:history="1">
        <w:r w:rsidR="002C5B89" w:rsidRPr="002C5B89">
          <w:rPr>
            <w:rStyle w:val="Hypertextovodkaz"/>
          </w:rPr>
          <w:t>Příloha č. 1 Zaměření veřejné soutěže Sigma</w:t>
        </w:r>
      </w:hyperlink>
      <w:r w:rsidR="002C5B89">
        <w:t>.</w:t>
      </w:r>
    </w:p>
    <w:p w:rsidR="003D709A" w:rsidRDefault="003D709A" w:rsidP="00A863FE">
      <w:pPr>
        <w:spacing w:after="0" w:line="240" w:lineRule="auto"/>
        <w:rPr>
          <w:b/>
        </w:rPr>
      </w:pPr>
    </w:p>
    <w:p w:rsidR="002F21BE" w:rsidRDefault="00F7228A" w:rsidP="00A863FE">
      <w:pPr>
        <w:spacing w:after="0" w:line="240" w:lineRule="auto"/>
        <w:rPr>
          <w:b/>
        </w:rPr>
      </w:pPr>
      <w:r w:rsidRPr="00F7228A">
        <w:rPr>
          <w:b/>
        </w:rPr>
        <w:t>Volba a popis naplnění hlavního tématu a podtématu je povinnou součástí návrhu projektu v ISTA. Kap. 3 Představení projektu.</w:t>
      </w:r>
    </w:p>
    <w:p w:rsidR="002C5B89" w:rsidRPr="00F7228A" w:rsidRDefault="002C5B89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1B6ECD" w:rsidRDefault="001B6ECD" w:rsidP="00A863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 xml:space="preserve">Novinka! </w:t>
      </w:r>
    </w:p>
    <w:p w:rsidR="00F7228A" w:rsidRPr="001B6ECD" w:rsidRDefault="00F7228A" w:rsidP="00A863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1B6ECD">
        <w:rPr>
          <w:rFonts w:ascii="Calibri" w:hAnsi="Calibri" w:cs="Calibri"/>
          <w:b/>
          <w:bCs/>
          <w:color w:val="FF0000"/>
        </w:rPr>
        <w:t xml:space="preserve">Gender v obsahu výzkumu a inovací: </w:t>
      </w:r>
    </w:p>
    <w:p w:rsidR="00F7228A" w:rsidRPr="001B6ECD" w:rsidRDefault="00F7228A" w:rsidP="00A863FE">
      <w:pPr>
        <w:spacing w:after="0" w:line="240" w:lineRule="auto"/>
        <w:rPr>
          <w:b/>
          <w:color w:val="FF0000"/>
          <w:sz w:val="28"/>
          <w:szCs w:val="28"/>
        </w:rPr>
      </w:pPr>
      <w:r w:rsidRPr="001B6ECD">
        <w:rPr>
          <w:rFonts w:ascii="Calibri" w:hAnsi="Calibri" w:cs="Calibri"/>
          <w:color w:val="FF0000"/>
        </w:rPr>
        <w:t xml:space="preserve">Uchazeči v návrhu projektu dále uvedou, jak budou výsledky výzkumu využívat různé skupiny populace s ohledem na genderovou dimenzi předmětu a dopadu výzkumu. Pro více informací využijte dokument </w:t>
      </w:r>
      <w:hyperlink r:id="rId11" w:history="1">
        <w:r w:rsidRPr="001B6ECD">
          <w:rPr>
            <w:rStyle w:val="Hypertextovodkaz"/>
            <w:color w:val="FF0000"/>
          </w:rPr>
          <w:t>https://www.tacr.cz/dokumenty/genderova-dimenze-v-obsahu-vyzkumu</w:t>
        </w:r>
      </w:hyperlink>
      <w:r w:rsidR="002C5B89" w:rsidRPr="001B6ECD">
        <w:rPr>
          <w:color w:val="FF0000"/>
        </w:rPr>
        <w:t>.</w:t>
      </w:r>
      <w:r w:rsidRPr="001B6ECD">
        <w:rPr>
          <w:color w:val="FF0000"/>
        </w:rPr>
        <w:t xml:space="preserve"> </w:t>
      </w:r>
    </w:p>
    <w:p w:rsidR="00F7228A" w:rsidRPr="001B6ECD" w:rsidRDefault="00F7228A" w:rsidP="00A863FE">
      <w:pPr>
        <w:spacing w:after="0" w:line="240" w:lineRule="auto"/>
        <w:rPr>
          <w:b/>
          <w:color w:val="FF0000"/>
          <w:sz w:val="28"/>
          <w:szCs w:val="28"/>
        </w:rPr>
      </w:pPr>
    </w:p>
    <w:p w:rsidR="003D709A" w:rsidRPr="001B6ECD" w:rsidRDefault="003D709A" w:rsidP="00A863FE">
      <w:pPr>
        <w:spacing w:after="0" w:line="240" w:lineRule="auto"/>
        <w:rPr>
          <w:b/>
          <w:color w:val="FF0000"/>
          <w:sz w:val="28"/>
          <w:szCs w:val="28"/>
        </w:rPr>
      </w:pPr>
    </w:p>
    <w:p w:rsidR="003D709A" w:rsidRDefault="003D709A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57770F" w:rsidRPr="00525099" w:rsidRDefault="0057770F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Uchazeči:</w:t>
      </w:r>
    </w:p>
    <w:p w:rsidR="00AB60CA" w:rsidRPr="00774823" w:rsidRDefault="00AB60CA" w:rsidP="00A863F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774823">
        <w:t xml:space="preserve">podniky  </w:t>
      </w:r>
    </w:p>
    <w:p w:rsidR="0083332B" w:rsidRPr="00774823" w:rsidRDefault="00AB60CA" w:rsidP="003D709A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774823">
        <w:t>výzkumné organizace</w:t>
      </w:r>
    </w:p>
    <w:p w:rsidR="00A863FE" w:rsidRDefault="00A863FE" w:rsidP="00A863FE">
      <w:pPr>
        <w:spacing w:after="0" w:line="240" w:lineRule="auto"/>
      </w:pPr>
    </w:p>
    <w:p w:rsidR="002F21BE" w:rsidRDefault="002F21BE" w:rsidP="00A863FE">
      <w:pPr>
        <w:spacing w:after="0" w:line="240" w:lineRule="auto"/>
      </w:pPr>
      <w:r>
        <w:t xml:space="preserve">Hlavní uchazeč může: </w:t>
      </w:r>
    </w:p>
    <w:p w:rsidR="0083332B" w:rsidRDefault="002F21BE" w:rsidP="00A863FE">
      <w:pPr>
        <w:pStyle w:val="Odstavecseseznamem"/>
        <w:numPr>
          <w:ilvl w:val="0"/>
          <w:numId w:val="18"/>
        </w:numPr>
        <w:spacing w:after="0" w:line="240" w:lineRule="auto"/>
      </w:pPr>
      <w:r>
        <w:t xml:space="preserve">být pouze subjekt, který má sídlo, provozovnu nebo pobočku v České republice; </w:t>
      </w:r>
    </w:p>
    <w:p w:rsidR="0083332B" w:rsidRDefault="002F21BE" w:rsidP="00A863FE">
      <w:pPr>
        <w:pStyle w:val="Odstavecseseznamem"/>
        <w:numPr>
          <w:ilvl w:val="0"/>
          <w:numId w:val="18"/>
        </w:numPr>
        <w:spacing w:after="0" w:line="240" w:lineRule="auto"/>
      </w:pPr>
      <w:r>
        <w:t xml:space="preserve">projekt řešit samostatně nebo ve spolupráci s dalšími účastníky; </w:t>
      </w:r>
    </w:p>
    <w:p w:rsidR="002B225D" w:rsidRDefault="002F21BE" w:rsidP="00A863FE">
      <w:pPr>
        <w:pStyle w:val="Odstavecseseznamem"/>
        <w:numPr>
          <w:ilvl w:val="0"/>
          <w:numId w:val="18"/>
        </w:numPr>
        <w:spacing w:after="0" w:line="240" w:lineRule="auto"/>
      </w:pPr>
      <w:r>
        <w:t>podat neomezený počet návrhů projektů (aby mohl být návrh projektu podpořen, je nutné splnit podmínky stanovené v kapitole 3.3 Vymezení se vůči vlastním obdobným projektům).</w:t>
      </w:r>
    </w:p>
    <w:p w:rsidR="00A863FE" w:rsidRDefault="00A863FE" w:rsidP="00A863FE">
      <w:pPr>
        <w:spacing w:after="0" w:line="240" w:lineRule="auto"/>
      </w:pPr>
    </w:p>
    <w:p w:rsidR="002F21BE" w:rsidRDefault="002F21BE" w:rsidP="00A863FE">
      <w:pPr>
        <w:spacing w:after="0" w:line="240" w:lineRule="auto"/>
      </w:pPr>
      <w:r>
        <w:t>Uchazeči (bez ohledu na svou právní formu) si mohou v ISTA zvolit typ uchazeče podnik (např. neziskové organizace, příspěvkové organizace, organizační složky státu, územní samosprávné celky).</w:t>
      </w:r>
    </w:p>
    <w:p w:rsidR="002F21BE" w:rsidRDefault="002F21BE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t>Další účastník může být subjekt se sídlem v členském státě Evropské unie (včetně České republiky), v jiném státě tvořícím Evropský hospodářský prostor nebo ve Švýcarské konfederaci.</w:t>
      </w:r>
    </w:p>
    <w:p w:rsidR="002F21BE" w:rsidRDefault="002F21BE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t>Jako další účastníci se mohou hlásit také pobočky zapsané v obchodním rejstříku jako odštěpný závod. Zřizovatel odštěpného závodu musí mít sídlo v členském státě Evropské unie (včetně České republiky), v jiném státě tvořícím Evropský hospodářský prostor nebo ve Švýcarské konfederaci.</w:t>
      </w:r>
    </w:p>
    <w:p w:rsidR="00BB35D3" w:rsidRDefault="00BB35D3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BB35D3" w:rsidRDefault="00BB35D3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Základní finanční údaje</w:t>
      </w:r>
    </w:p>
    <w:p w:rsidR="00A863FE" w:rsidRPr="00525099" w:rsidRDefault="00A863FE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BB35D3" w:rsidRPr="000036D5" w:rsidRDefault="00BB35D3" w:rsidP="00A863FE">
      <w:pPr>
        <w:spacing w:after="0" w:line="240" w:lineRule="auto"/>
        <w:rPr>
          <w:b/>
        </w:rPr>
      </w:pPr>
      <w:r w:rsidRPr="005A37C6">
        <w:t xml:space="preserve">Alokace soutěže </w:t>
      </w:r>
      <w:r w:rsidRPr="005A37C6">
        <w:rPr>
          <w:b/>
        </w:rPr>
        <w:t xml:space="preserve">– </w:t>
      </w:r>
      <w:r>
        <w:rPr>
          <w:b/>
        </w:rPr>
        <w:t>500 miliónů</w:t>
      </w:r>
      <w:r w:rsidRPr="005A37C6">
        <w:rPr>
          <w:b/>
        </w:rPr>
        <w:t xml:space="preserve"> Kč</w:t>
      </w:r>
    </w:p>
    <w:p w:rsidR="00BB35D3" w:rsidRPr="000036D5" w:rsidRDefault="00BB35D3" w:rsidP="00A863FE">
      <w:pPr>
        <w:spacing w:after="0" w:line="240" w:lineRule="auto"/>
        <w:rPr>
          <w:b/>
        </w:rPr>
      </w:pPr>
      <w:r w:rsidRPr="000036D5">
        <w:t>Maximální částka podpory na jeden projekt -</w:t>
      </w:r>
      <w:r w:rsidRPr="002B225D">
        <w:rPr>
          <w:b/>
        </w:rPr>
        <w:t>1</w:t>
      </w:r>
      <w:r>
        <w:rPr>
          <w:b/>
        </w:rPr>
        <w:t>2</w:t>
      </w:r>
      <w:r w:rsidRPr="000036D5">
        <w:rPr>
          <w:b/>
        </w:rPr>
        <w:t xml:space="preserve"> mil. Kč</w:t>
      </w:r>
    </w:p>
    <w:p w:rsidR="00BB35D3" w:rsidRPr="001923C1" w:rsidRDefault="00BB35D3" w:rsidP="00A863FE">
      <w:pPr>
        <w:spacing w:after="0" w:line="240" w:lineRule="auto"/>
        <w:rPr>
          <w:b/>
        </w:rPr>
      </w:pPr>
      <w:r w:rsidRPr="000036D5">
        <w:t xml:space="preserve">Maximální intenzita podpory na projekt - </w:t>
      </w:r>
      <w:r>
        <w:rPr>
          <w:b/>
        </w:rPr>
        <w:t>80</w:t>
      </w:r>
      <w:r w:rsidRPr="000036D5">
        <w:rPr>
          <w:b/>
        </w:rPr>
        <w:t xml:space="preserve"> %</w:t>
      </w:r>
    </w:p>
    <w:p w:rsidR="00BB35D3" w:rsidRPr="000036D5" w:rsidRDefault="00BB35D3" w:rsidP="00A863FE">
      <w:pPr>
        <w:spacing w:after="0" w:line="240" w:lineRule="auto"/>
        <w:rPr>
          <w:b/>
        </w:rPr>
      </w:pPr>
      <w:r w:rsidRPr="00126231">
        <w:rPr>
          <w:b/>
        </w:rPr>
        <w:t>Maximální intenzita podpory pro výzkumnou organizaci -  100%</w:t>
      </w:r>
    </w:p>
    <w:p w:rsidR="00BB35D3" w:rsidRPr="0003137D" w:rsidRDefault="00BB35D3" w:rsidP="00A863FE">
      <w:pPr>
        <w:spacing w:after="0" w:line="240" w:lineRule="auto"/>
        <w:rPr>
          <w:b/>
          <w:highlight w:val="yellow"/>
        </w:rPr>
      </w:pPr>
    </w:p>
    <w:p w:rsidR="00BB35D3" w:rsidRDefault="00BB35D3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 xml:space="preserve">Způsobilé náklady:  </w:t>
      </w:r>
    </w:p>
    <w:p w:rsidR="00A863FE" w:rsidRPr="00525099" w:rsidRDefault="00A863FE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3D709A" w:rsidRDefault="00BB35D3" w:rsidP="003D709A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540B9">
        <w:rPr>
          <w:sz w:val="22"/>
          <w:szCs w:val="22"/>
        </w:rPr>
        <w:t xml:space="preserve">osobní </w:t>
      </w:r>
      <w:r w:rsidRPr="00F30322">
        <w:rPr>
          <w:rFonts w:asciiTheme="minorHAnsi" w:hAnsiTheme="minorHAnsi" w:cstheme="minorHAnsi"/>
          <w:sz w:val="22"/>
          <w:szCs w:val="22"/>
        </w:rPr>
        <w:t xml:space="preserve">náklady </w:t>
      </w:r>
    </w:p>
    <w:p w:rsidR="003D709A" w:rsidRDefault="00BB35D3" w:rsidP="003D709A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3D709A">
        <w:rPr>
          <w:rFonts w:asciiTheme="minorHAnsi" w:hAnsiTheme="minorHAnsi" w:cstheme="minorHAnsi"/>
          <w:sz w:val="22"/>
          <w:szCs w:val="22"/>
        </w:rPr>
        <w:t>stipendia (</w:t>
      </w:r>
      <w:r w:rsidRPr="003D709A">
        <w:rPr>
          <w:rFonts w:asciiTheme="minorHAnsi" w:hAnsiTheme="minorHAnsi" w:cstheme="minorHAnsi"/>
          <w:b/>
          <w:sz w:val="22"/>
          <w:szCs w:val="22"/>
        </w:rPr>
        <w:t>na VUT není tento náklad doporučován!)</w:t>
      </w:r>
      <w:r w:rsidRPr="003D709A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3D709A" w:rsidRDefault="00BB35D3" w:rsidP="003D709A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3D709A">
        <w:rPr>
          <w:rFonts w:asciiTheme="minorHAnsi" w:hAnsiTheme="minorHAnsi" w:cstheme="minorHAnsi"/>
          <w:sz w:val="22"/>
          <w:szCs w:val="22"/>
        </w:rPr>
        <w:t xml:space="preserve">náklady na subdodávky; </w:t>
      </w:r>
    </w:p>
    <w:p w:rsidR="003D709A" w:rsidRDefault="00BB35D3" w:rsidP="003D709A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3D709A">
        <w:rPr>
          <w:rFonts w:asciiTheme="minorHAnsi" w:hAnsiTheme="minorHAnsi" w:cstheme="minorHAnsi"/>
          <w:sz w:val="22"/>
          <w:szCs w:val="22"/>
        </w:rPr>
        <w:t xml:space="preserve">ostatní přímé náklady; </w:t>
      </w:r>
    </w:p>
    <w:p w:rsidR="00BB35D3" w:rsidRPr="003D709A" w:rsidRDefault="00BB35D3" w:rsidP="003D709A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3D70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nepřímé náklady full </w:t>
      </w:r>
      <w:proofErr w:type="spellStart"/>
      <w:r w:rsidRPr="003D709A">
        <w:rPr>
          <w:rFonts w:asciiTheme="minorHAnsi" w:hAnsiTheme="minorHAnsi" w:cstheme="minorHAnsi"/>
          <w:b/>
          <w:color w:val="auto"/>
          <w:sz w:val="22"/>
          <w:szCs w:val="22"/>
        </w:rPr>
        <w:t>cost</w:t>
      </w:r>
      <w:proofErr w:type="spellEnd"/>
      <w:r w:rsidRPr="003D70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nebo </w:t>
      </w:r>
      <w:proofErr w:type="spellStart"/>
      <w:r w:rsidRPr="003D709A">
        <w:rPr>
          <w:rFonts w:asciiTheme="minorHAnsi" w:hAnsiTheme="minorHAnsi" w:cstheme="minorHAnsi"/>
          <w:b/>
          <w:color w:val="auto"/>
          <w:sz w:val="22"/>
          <w:szCs w:val="22"/>
        </w:rPr>
        <w:t>flat</w:t>
      </w:r>
      <w:proofErr w:type="spellEnd"/>
      <w:r w:rsidRPr="003D70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D709A">
        <w:rPr>
          <w:rFonts w:asciiTheme="minorHAnsi" w:hAnsiTheme="minorHAnsi" w:cstheme="minorHAnsi"/>
          <w:b/>
          <w:color w:val="auto"/>
          <w:sz w:val="22"/>
          <w:szCs w:val="22"/>
        </w:rPr>
        <w:t>rate</w:t>
      </w:r>
      <w:proofErr w:type="spellEnd"/>
      <w:r w:rsidRPr="003D70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do výše 25%  </w:t>
      </w:r>
    </w:p>
    <w:p w:rsidR="00BB35D3" w:rsidRPr="00F30322" w:rsidRDefault="00BB35D3" w:rsidP="00A863FE">
      <w:pPr>
        <w:pStyle w:val="Default"/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:rsidR="00BB35D3" w:rsidRDefault="00BB35D3" w:rsidP="00A863FE">
      <w:pPr>
        <w:spacing w:after="0" w:line="240" w:lineRule="auto"/>
        <w:rPr>
          <w:b/>
        </w:rPr>
      </w:pPr>
      <w:r>
        <w:t>Náklady na řešení projektu jsou uznatelné od data zahájení řešení projektu. V případě, že řešení projektu bude v souladu s návrhem projektu zahájeno před vyhlášením výsledků veřejné soutěže (nejdříve však od 1. 6. 2023), a návrh projektu bude podpořen, náklady na řešení projektu budou uznatelné.</w:t>
      </w:r>
    </w:p>
    <w:p w:rsidR="002F21BE" w:rsidRDefault="002F21BE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F7228A" w:rsidRDefault="00F7228A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F7228A">
        <w:rPr>
          <w:b/>
          <w:color w:val="1F4E79" w:themeColor="accent1" w:themeShade="80"/>
          <w:sz w:val="28"/>
          <w:szCs w:val="28"/>
        </w:rPr>
        <w:t>Vymezení se vůči vlastním obdobným projektům</w:t>
      </w:r>
      <w:r>
        <w:rPr>
          <w:b/>
          <w:color w:val="1F4E79" w:themeColor="accent1" w:themeShade="80"/>
          <w:sz w:val="28"/>
          <w:szCs w:val="28"/>
        </w:rPr>
        <w:t>:</w:t>
      </w:r>
      <w:r w:rsidRPr="00F7228A">
        <w:rPr>
          <w:b/>
          <w:color w:val="1F4E79" w:themeColor="accent1" w:themeShade="80"/>
          <w:sz w:val="28"/>
          <w:szCs w:val="28"/>
        </w:rPr>
        <w:t xml:space="preserve"> </w:t>
      </w:r>
    </w:p>
    <w:p w:rsidR="00A863FE" w:rsidRPr="00F7228A" w:rsidRDefault="00A863FE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F7228A" w:rsidRDefault="00F7228A" w:rsidP="00A863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228A">
        <w:rPr>
          <w:rFonts w:ascii="Calibri" w:hAnsi="Calibri" w:cs="Calibri"/>
          <w:color w:val="000000"/>
        </w:rPr>
        <w:t>Technologická agentura České republiky podporuje pouze návrhy projektů, jejichž obsah nebo jejich část dosud nebyly a v současnosti nejsou řešeny v rámci jiného vlastního projektu</w:t>
      </w:r>
      <w:r w:rsidRPr="00F7228A">
        <w:rPr>
          <w:rFonts w:ascii="Calibri" w:hAnsi="Calibri" w:cs="Calibri"/>
          <w:color w:val="000000"/>
          <w:sz w:val="14"/>
          <w:szCs w:val="14"/>
        </w:rPr>
        <w:t>3</w:t>
      </w:r>
      <w:r w:rsidRPr="00F7228A">
        <w:rPr>
          <w:rFonts w:ascii="Calibri" w:hAnsi="Calibri" w:cs="Calibri"/>
          <w:color w:val="000000"/>
        </w:rPr>
        <w:t>. Dvojí financování není povoleno.</w:t>
      </w:r>
    </w:p>
    <w:p w:rsidR="00F7228A" w:rsidRPr="00F7228A" w:rsidRDefault="00F7228A" w:rsidP="00A863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228A">
        <w:rPr>
          <w:rFonts w:ascii="Calibri" w:hAnsi="Calibri" w:cs="Calibri"/>
          <w:color w:val="000000"/>
        </w:rPr>
        <w:t xml:space="preserve"> </w:t>
      </w:r>
    </w:p>
    <w:p w:rsidR="00F7228A" w:rsidRPr="00F7228A" w:rsidRDefault="00F7228A" w:rsidP="00A863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228A">
        <w:rPr>
          <w:rFonts w:ascii="Calibri" w:hAnsi="Calibri" w:cs="Calibri"/>
          <w:color w:val="000000"/>
        </w:rPr>
        <w:t xml:space="preserve">Uchazeči (zejména v případě shody klíčové osoby v řešitelském týmu a v případě podobného zaměření návrhu projektu) jsou povinni uvést vlastní: </w:t>
      </w:r>
    </w:p>
    <w:p w:rsidR="00F7228A" w:rsidRPr="00F7228A" w:rsidRDefault="00F7228A" w:rsidP="00A863F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228A">
        <w:rPr>
          <w:rFonts w:ascii="Calibri" w:hAnsi="Calibri" w:cs="Calibri"/>
          <w:b/>
          <w:bCs/>
          <w:color w:val="000000"/>
        </w:rPr>
        <w:t>ukončené projekty</w:t>
      </w:r>
      <w:r w:rsidRPr="00F7228A">
        <w:rPr>
          <w:rFonts w:ascii="Calibri" w:hAnsi="Calibri" w:cs="Calibri"/>
          <w:color w:val="000000"/>
        </w:rPr>
        <w:t xml:space="preserve">, pokud plánované výstupy/výsledky návrhu projektu na ně navazují, a tuto návaznost popsat; </w:t>
      </w:r>
    </w:p>
    <w:p w:rsidR="00F7228A" w:rsidRPr="00F7228A" w:rsidRDefault="00F7228A" w:rsidP="00A863F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228A">
        <w:rPr>
          <w:rFonts w:ascii="Calibri" w:hAnsi="Calibri" w:cs="Calibri"/>
          <w:b/>
          <w:bCs/>
          <w:color w:val="000000"/>
        </w:rPr>
        <w:lastRenderedPageBreak/>
        <w:t xml:space="preserve">aktuálně řešené související projekty </w:t>
      </w:r>
      <w:r w:rsidRPr="00F7228A">
        <w:rPr>
          <w:rFonts w:ascii="Calibri" w:hAnsi="Calibri" w:cs="Calibri"/>
          <w:color w:val="000000"/>
        </w:rPr>
        <w:t xml:space="preserve">a popsat odlišnosti mezi těmito projekty s návrhem projektu podávaným do této veřejné soutěže; </w:t>
      </w:r>
    </w:p>
    <w:p w:rsidR="00F7228A" w:rsidRPr="00F7228A" w:rsidRDefault="00F7228A" w:rsidP="00A863F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228A">
        <w:rPr>
          <w:rFonts w:ascii="Calibri" w:hAnsi="Calibri" w:cs="Calibri"/>
          <w:b/>
          <w:bCs/>
          <w:color w:val="000000"/>
        </w:rPr>
        <w:t>návrhy projektů souběžně podávané do této či jiných veřejných soutěží</w:t>
      </w:r>
      <w:r w:rsidRPr="00F7228A">
        <w:rPr>
          <w:rFonts w:ascii="Calibri" w:hAnsi="Calibri" w:cs="Calibri"/>
          <w:color w:val="000000"/>
        </w:rPr>
        <w:t xml:space="preserve">, kdy by při současném podpoření </w:t>
      </w:r>
      <w:r w:rsidRPr="00F7228A">
        <w:rPr>
          <w:rFonts w:ascii="Calibri" w:hAnsi="Calibri" w:cs="Calibri"/>
          <w:b/>
          <w:bCs/>
          <w:color w:val="000000"/>
        </w:rPr>
        <w:t xml:space="preserve">nedocházelo </w:t>
      </w:r>
      <w:r w:rsidRPr="00F7228A">
        <w:rPr>
          <w:rFonts w:ascii="Calibri" w:hAnsi="Calibri" w:cs="Calibri"/>
          <w:color w:val="000000"/>
        </w:rPr>
        <w:t xml:space="preserve">k dvojímu financování. V tomto případě je nutné popsat odlišnosti mezi těmito projekty; </w:t>
      </w:r>
    </w:p>
    <w:p w:rsidR="00F7228A" w:rsidRPr="00F7228A" w:rsidRDefault="00F7228A" w:rsidP="00A863F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228A">
        <w:rPr>
          <w:rFonts w:ascii="Calibri" w:hAnsi="Calibri" w:cs="Calibri"/>
          <w:b/>
          <w:bCs/>
          <w:color w:val="000000"/>
        </w:rPr>
        <w:t>návrhy projektů souběžně podávané do této či jiných veřejných soutěží</w:t>
      </w:r>
      <w:r w:rsidRPr="00F7228A">
        <w:rPr>
          <w:rFonts w:ascii="Calibri" w:hAnsi="Calibri" w:cs="Calibri"/>
          <w:color w:val="000000"/>
        </w:rPr>
        <w:t xml:space="preserve">, kdy by při současném podpoření </w:t>
      </w:r>
      <w:r w:rsidRPr="00F7228A">
        <w:rPr>
          <w:rFonts w:ascii="Calibri" w:hAnsi="Calibri" w:cs="Calibri"/>
          <w:b/>
          <w:bCs/>
          <w:color w:val="000000"/>
        </w:rPr>
        <w:t xml:space="preserve">docházelo </w:t>
      </w:r>
      <w:r w:rsidRPr="00F7228A">
        <w:rPr>
          <w:rFonts w:ascii="Calibri" w:hAnsi="Calibri" w:cs="Calibri"/>
          <w:color w:val="000000"/>
        </w:rPr>
        <w:t xml:space="preserve">k dvojímu financování. V tomto případě je nutné uvést, že bude uzavřena pouze jedna smlouva o poskytnutí podpory a tento závazek dodržet. </w:t>
      </w:r>
    </w:p>
    <w:p w:rsidR="00F7228A" w:rsidRPr="00F7228A" w:rsidRDefault="00F7228A" w:rsidP="00A863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7228A" w:rsidRDefault="00F7228A" w:rsidP="00A863FE">
      <w:pPr>
        <w:spacing w:after="0" w:line="240" w:lineRule="auto"/>
      </w:pPr>
      <w:r>
        <w:t xml:space="preserve">Pokud </w:t>
      </w:r>
      <w:r>
        <w:rPr>
          <w:b/>
          <w:bCs/>
        </w:rPr>
        <w:t xml:space="preserve">neexistují </w:t>
      </w:r>
      <w:r>
        <w:t xml:space="preserve">takové projekty, ke kterým se vztahuje povinnost vymezení, </w:t>
      </w:r>
      <w:r>
        <w:rPr>
          <w:b/>
          <w:bCs/>
        </w:rPr>
        <w:t>výslovně tuto skutečnost uveďte</w:t>
      </w:r>
      <w:r>
        <w:t>.</w:t>
      </w:r>
    </w:p>
    <w:p w:rsidR="00A863FE" w:rsidRPr="00A863FE" w:rsidRDefault="00A863FE" w:rsidP="00A863FE">
      <w:pPr>
        <w:spacing w:after="0" w:line="240" w:lineRule="auto"/>
        <w:rPr>
          <w:rFonts w:ascii="Calibri" w:hAnsi="Calibri" w:cs="Calibri"/>
          <w:color w:val="000000"/>
        </w:rPr>
      </w:pPr>
    </w:p>
    <w:p w:rsidR="00F7228A" w:rsidRDefault="00F7228A" w:rsidP="00A863FE">
      <w:pPr>
        <w:spacing w:after="0" w:line="240" w:lineRule="auto"/>
      </w:pPr>
      <w:r w:rsidRPr="00F7228A">
        <w:rPr>
          <w:rFonts w:ascii="Calibri" w:hAnsi="Calibri" w:cs="Calibri"/>
          <w:b/>
          <w:color w:val="000000"/>
        </w:rPr>
        <w:t>Vlastními projekty jsou myšleny veškeré projekty u jakéhokoli poskytovatele veřejné podpory, na jehož řešení se podílí subjekt se shodným IČO, a to bez rozdílu, zda se jedná o hlavního uchazeče či dalšího účastníka.</w:t>
      </w:r>
      <w:r>
        <w:rPr>
          <w:sz w:val="20"/>
          <w:szCs w:val="20"/>
        </w:rPr>
        <w:t xml:space="preserve"> </w:t>
      </w:r>
      <w:r>
        <w:t xml:space="preserve"> </w:t>
      </w:r>
    </w:p>
    <w:p w:rsidR="00A863FE" w:rsidRDefault="00A863FE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F7228A" w:rsidRDefault="00F7228A" w:rsidP="00A863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228A">
        <w:rPr>
          <w:rFonts w:ascii="Calibri" w:hAnsi="Calibri" w:cs="Calibri"/>
          <w:b/>
          <w:bCs/>
          <w:color w:val="000000"/>
        </w:rPr>
        <w:t xml:space="preserve">Vymezení se </w:t>
      </w:r>
      <w:r w:rsidRPr="00F7228A">
        <w:rPr>
          <w:rFonts w:ascii="Calibri" w:hAnsi="Calibri" w:cs="Calibri"/>
          <w:color w:val="000000"/>
        </w:rPr>
        <w:t xml:space="preserve">k vlastním projektům uveďte do záložky Představení projektu do pole Vymezení se k obdobným projektům a řešením. </w:t>
      </w:r>
      <w:r w:rsidRPr="00F7228A">
        <w:rPr>
          <w:rFonts w:ascii="Calibri" w:hAnsi="Calibri" w:cs="Calibri"/>
          <w:b/>
          <w:bCs/>
          <w:color w:val="000000"/>
        </w:rPr>
        <w:t xml:space="preserve">Novost </w:t>
      </w:r>
      <w:r w:rsidRPr="00F7228A">
        <w:rPr>
          <w:rFonts w:ascii="Calibri" w:hAnsi="Calibri" w:cs="Calibri"/>
          <w:color w:val="000000"/>
        </w:rPr>
        <w:t xml:space="preserve">vůči jiným známým řešením popište v záložce Představení projektu v poli Znalost současného stavu poznání, unikátnost a přínosy navrhovaného řešení (ekonomické, celospolečenské či jiné). </w:t>
      </w:r>
    </w:p>
    <w:p w:rsidR="00F30322" w:rsidRPr="00F7228A" w:rsidRDefault="00F30322" w:rsidP="00A863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7228A" w:rsidRDefault="00F7228A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F7228A">
        <w:rPr>
          <w:rFonts w:ascii="Calibri" w:hAnsi="Calibri" w:cs="Calibri"/>
          <w:color w:val="000000"/>
        </w:rPr>
        <w:t xml:space="preserve">Pro ověření úplnosti výčtu souvisejících projektů a prokázání novosti navrhovaného řešení doporučuje TA ČR využít nástroj pro vyhledání podpořených projektů STARFOS, popřípadě Informační systém výzkumu, experimentálního vývoje a inovací (IS </w:t>
      </w:r>
      <w:proofErr w:type="spellStart"/>
      <w:r w:rsidRPr="00F7228A">
        <w:rPr>
          <w:rFonts w:ascii="Calibri" w:hAnsi="Calibri" w:cs="Calibri"/>
          <w:color w:val="000000"/>
        </w:rPr>
        <w:t>VaVaI</w:t>
      </w:r>
      <w:proofErr w:type="spellEnd"/>
      <w:r w:rsidRPr="00F7228A">
        <w:rPr>
          <w:rFonts w:ascii="Calibri" w:hAnsi="Calibri" w:cs="Calibri"/>
          <w:color w:val="000000"/>
        </w:rPr>
        <w:t>).</w:t>
      </w:r>
    </w:p>
    <w:p w:rsidR="009754C2" w:rsidRDefault="009754C2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9754C2" w:rsidRDefault="009754C2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Návrh projektu:</w:t>
      </w:r>
    </w:p>
    <w:p w:rsidR="00A863FE" w:rsidRPr="00525099" w:rsidRDefault="00A863FE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A863FE" w:rsidRDefault="009754C2" w:rsidP="00A863FE">
      <w:pPr>
        <w:spacing w:after="0" w:line="240" w:lineRule="auto"/>
      </w:pPr>
      <w:r w:rsidRPr="007C2781">
        <w:rPr>
          <w:b/>
        </w:rPr>
        <w:t>Webový portál ISTA</w:t>
      </w:r>
      <w:r>
        <w:rPr>
          <w:b/>
        </w:rPr>
        <w:t xml:space="preserve"> </w:t>
      </w:r>
      <w:hyperlink r:id="rId12" w:history="1">
        <w:r w:rsidRPr="00626B61">
          <w:rPr>
            <w:rStyle w:val="Hypertextovodkaz"/>
          </w:rPr>
          <w:t>https://ista.tacr.cz/ISTA/action/Dashboard/ExternalNew/?actionId=6798826730857997&amp;ts=1651134055512&amp;hash=/PRnciOWYPGy0ZuRTsNaKYXfoMOiF9jN8xXBwm4AbZU=&amp;nbl=true&amp;uselastresult=true&amp;_browserSessionID=&amp;lang</w:t>
        </w:r>
      </w:hyperlink>
      <w:r w:rsidRPr="00103A81">
        <w:t>=</w:t>
      </w:r>
      <w:r w:rsidR="00A863FE">
        <w:t xml:space="preserve"> </w:t>
      </w:r>
      <w:r>
        <w:t xml:space="preserve"> </w:t>
      </w:r>
    </w:p>
    <w:p w:rsidR="003D709A" w:rsidRDefault="003D709A" w:rsidP="00A863FE">
      <w:pPr>
        <w:spacing w:after="0" w:line="240" w:lineRule="auto"/>
      </w:pPr>
    </w:p>
    <w:p w:rsidR="009754C2" w:rsidRDefault="009754C2" w:rsidP="00A863FE">
      <w:pPr>
        <w:spacing w:after="0" w:line="240" w:lineRule="auto"/>
        <w:rPr>
          <w:b/>
          <w:bCs/>
        </w:rPr>
      </w:pPr>
      <w:r>
        <w:t xml:space="preserve">Návrh projektu se předkládá v </w:t>
      </w:r>
      <w:r>
        <w:rPr>
          <w:b/>
          <w:bCs/>
        </w:rPr>
        <w:t>češtině</w:t>
      </w:r>
      <w:r>
        <w:t>, případně ve slovenštině</w:t>
      </w:r>
      <w:r>
        <w:rPr>
          <w:b/>
          <w:bCs/>
        </w:rPr>
        <w:t>.</w:t>
      </w:r>
    </w:p>
    <w:p w:rsidR="00A863FE" w:rsidRPr="00A863FE" w:rsidRDefault="00A863FE" w:rsidP="00A863FE">
      <w:pPr>
        <w:spacing w:after="0" w:line="240" w:lineRule="auto"/>
        <w:rPr>
          <w:b/>
        </w:rPr>
      </w:pPr>
    </w:p>
    <w:p w:rsidR="00BB35D3" w:rsidRDefault="00BB35D3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Výstupy/výsledky:</w:t>
      </w:r>
    </w:p>
    <w:p w:rsidR="00A863FE" w:rsidRDefault="00A863FE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9754C2" w:rsidRPr="009754C2" w:rsidRDefault="009754C2" w:rsidP="00A863FE">
      <w:pPr>
        <w:spacing w:after="0" w:line="240" w:lineRule="auto"/>
        <w:jc w:val="both"/>
      </w:pPr>
      <w:r>
        <w:t xml:space="preserve">V této veřejné soutěži může TA ČR podporovat pouze návrhy projektů, kde se předpokládá </w:t>
      </w:r>
      <w:r>
        <w:rPr>
          <w:b/>
          <w:bCs/>
        </w:rPr>
        <w:t>uplatnění výstupů/výsledků do praxe</w:t>
      </w:r>
      <w:r>
        <w:t xml:space="preserve">. V každém návrhu projektu musí být zvolen minimálně jeden </w:t>
      </w:r>
      <w:r>
        <w:rPr>
          <w:b/>
          <w:bCs/>
        </w:rPr>
        <w:t xml:space="preserve">hlavní výstup/výsledek. </w:t>
      </w:r>
    </w:p>
    <w:p w:rsidR="009754C2" w:rsidRDefault="009754C2" w:rsidP="00A863FE">
      <w:pPr>
        <w:spacing w:after="0" w:line="240" w:lineRule="auto"/>
        <w:rPr>
          <w:i/>
          <w:u w:val="single"/>
        </w:rPr>
      </w:pPr>
    </w:p>
    <w:p w:rsidR="00BB35D3" w:rsidRPr="000036D5" w:rsidRDefault="00BB35D3" w:rsidP="00A863FE">
      <w:pPr>
        <w:spacing w:after="0" w:line="240" w:lineRule="auto"/>
        <w:rPr>
          <w:i/>
          <w:u w:val="single"/>
        </w:rPr>
      </w:pPr>
      <w:r w:rsidRPr="000036D5">
        <w:rPr>
          <w:i/>
          <w:u w:val="single"/>
        </w:rPr>
        <w:t>Hlavní výstupy:</w:t>
      </w:r>
    </w:p>
    <w:p w:rsidR="00BB35D3" w:rsidRPr="002F21BE" w:rsidRDefault="00BB35D3" w:rsidP="00A863FE">
      <w:pPr>
        <w:spacing w:after="0" w:line="240" w:lineRule="auto"/>
        <w:rPr>
          <w:i/>
        </w:rPr>
      </w:pPr>
      <w:proofErr w:type="spellStart"/>
      <w:r w:rsidRPr="002F21BE">
        <w:rPr>
          <w:i/>
        </w:rPr>
        <w:t>Fprum</w:t>
      </w:r>
      <w:proofErr w:type="spellEnd"/>
      <w:r w:rsidRPr="002F21BE">
        <w:rPr>
          <w:i/>
        </w:rPr>
        <w:t xml:space="preserve"> – průmyslový vzor;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proofErr w:type="spellStart"/>
      <w:r w:rsidRPr="002F21BE">
        <w:rPr>
          <w:i/>
        </w:rPr>
        <w:t>Fuzit</w:t>
      </w:r>
      <w:proofErr w:type="spellEnd"/>
      <w:r w:rsidRPr="002F21BE">
        <w:rPr>
          <w:i/>
        </w:rPr>
        <w:t xml:space="preserve"> – užitný vzor;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proofErr w:type="spellStart"/>
      <w:r w:rsidRPr="002F21BE">
        <w:rPr>
          <w:i/>
        </w:rPr>
        <w:t>Gprot</w:t>
      </w:r>
      <w:proofErr w:type="spellEnd"/>
      <w:r w:rsidRPr="002F21BE">
        <w:rPr>
          <w:i/>
        </w:rPr>
        <w:t xml:space="preserve"> – prototyp;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proofErr w:type="spellStart"/>
      <w:r w:rsidRPr="002F21BE">
        <w:rPr>
          <w:i/>
        </w:rPr>
        <w:t>Gfunk</w:t>
      </w:r>
      <w:proofErr w:type="spellEnd"/>
      <w:r w:rsidRPr="002F21BE">
        <w:rPr>
          <w:i/>
        </w:rPr>
        <w:t xml:space="preserve"> – funkční vzorek;</w:t>
      </w:r>
    </w:p>
    <w:p w:rsidR="00BB35D3" w:rsidRPr="002F21BE" w:rsidRDefault="00BB35D3" w:rsidP="00A863FE">
      <w:pPr>
        <w:spacing w:after="0" w:line="240" w:lineRule="auto"/>
        <w:rPr>
          <w:i/>
        </w:rPr>
      </w:pPr>
      <w:r w:rsidRPr="002F21BE">
        <w:rPr>
          <w:i/>
        </w:rPr>
        <w:t xml:space="preserve"> </w:t>
      </w:r>
      <w:proofErr w:type="spellStart"/>
      <w:r w:rsidRPr="002F21BE">
        <w:rPr>
          <w:i/>
        </w:rPr>
        <w:t>Hkonc</w:t>
      </w:r>
      <w:proofErr w:type="spellEnd"/>
      <w:r w:rsidRPr="002F21BE">
        <w:rPr>
          <w:i/>
        </w:rPr>
        <w:t xml:space="preserve"> – výsledky promítnuté do schválených strategických a koncepčních dokumentů orgánů státní nebo veřejné správy;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proofErr w:type="spellStart"/>
      <w:r w:rsidRPr="002F21BE">
        <w:rPr>
          <w:i/>
        </w:rPr>
        <w:t>Hneleg</w:t>
      </w:r>
      <w:proofErr w:type="spellEnd"/>
      <w:r w:rsidRPr="002F21BE">
        <w:rPr>
          <w:i/>
        </w:rPr>
        <w:t xml:space="preserve"> – výsledky promítnuté do směrnic a předpisů nelegislativní povahy závazných v rámci kompetence příslušného poskytovatele;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proofErr w:type="spellStart"/>
      <w:r w:rsidRPr="002F21BE">
        <w:rPr>
          <w:i/>
        </w:rPr>
        <w:t>Nlec</w:t>
      </w:r>
      <w:proofErr w:type="spellEnd"/>
      <w:r w:rsidRPr="002F21BE">
        <w:rPr>
          <w:i/>
        </w:rPr>
        <w:t xml:space="preserve"> - léčebný postup;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proofErr w:type="spellStart"/>
      <w:r w:rsidRPr="002F21BE">
        <w:rPr>
          <w:i/>
        </w:rPr>
        <w:lastRenderedPageBreak/>
        <w:t>Nmap</w:t>
      </w:r>
      <w:proofErr w:type="spellEnd"/>
      <w:r w:rsidRPr="002F21BE">
        <w:rPr>
          <w:i/>
        </w:rPr>
        <w:t xml:space="preserve">* – specializovaná mapa s odborným obsahem;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proofErr w:type="spellStart"/>
      <w:r w:rsidRPr="002F21BE">
        <w:rPr>
          <w:i/>
        </w:rPr>
        <w:t>Npam</w:t>
      </w:r>
      <w:proofErr w:type="spellEnd"/>
      <w:r w:rsidRPr="002F21BE">
        <w:rPr>
          <w:i/>
        </w:rPr>
        <w:t xml:space="preserve">* - památkový postup;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proofErr w:type="spellStart"/>
      <w:r w:rsidRPr="002F21BE">
        <w:rPr>
          <w:i/>
        </w:rPr>
        <w:t>NmetC</w:t>
      </w:r>
      <w:proofErr w:type="spellEnd"/>
      <w:r w:rsidRPr="002F21BE">
        <w:rPr>
          <w:i/>
        </w:rPr>
        <w:t xml:space="preserve">* – metodika certifikovaná oprávněným orgánem – povinnou přílohou je Formulář pro druh výsledku </w:t>
      </w:r>
      <w:proofErr w:type="spellStart"/>
      <w:r w:rsidRPr="002F21BE">
        <w:rPr>
          <w:i/>
        </w:rPr>
        <w:t>Nmet</w:t>
      </w:r>
      <w:proofErr w:type="spellEnd"/>
      <w:r w:rsidRPr="002F21BE">
        <w:rPr>
          <w:i/>
        </w:rPr>
        <w:t xml:space="preserve">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proofErr w:type="spellStart"/>
      <w:r w:rsidRPr="002F21BE">
        <w:rPr>
          <w:i/>
        </w:rPr>
        <w:t>NmetA</w:t>
      </w:r>
      <w:proofErr w:type="spellEnd"/>
      <w:r w:rsidRPr="002F21BE">
        <w:rPr>
          <w:i/>
        </w:rPr>
        <w:t xml:space="preserve">* – metodika a postup akreditované oprávněným orgánem – povinnou přílohou je Formulář pro druh výsledku </w:t>
      </w:r>
      <w:proofErr w:type="spellStart"/>
      <w:r w:rsidRPr="002F21BE">
        <w:rPr>
          <w:i/>
        </w:rPr>
        <w:t>Nmet</w:t>
      </w:r>
      <w:proofErr w:type="spellEnd"/>
      <w:r w:rsidRPr="002F21BE">
        <w:rPr>
          <w:i/>
        </w:rPr>
        <w:t xml:space="preserve">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proofErr w:type="spellStart"/>
      <w:r w:rsidRPr="002F21BE">
        <w:rPr>
          <w:i/>
        </w:rPr>
        <w:t>NmetS</w:t>
      </w:r>
      <w:proofErr w:type="spellEnd"/>
      <w:r w:rsidRPr="002F21BE">
        <w:rPr>
          <w:i/>
        </w:rPr>
        <w:t xml:space="preserve">* – metodika schválená příslušným orgánem státní správy, do jehož kompetence daná problematika spadá – povinnou přílohou je Formulář pro druh výsledku </w:t>
      </w:r>
    </w:p>
    <w:p w:rsidR="00BB35D3" w:rsidRPr="002F21BE" w:rsidRDefault="00BB35D3" w:rsidP="00A863FE">
      <w:pPr>
        <w:spacing w:after="0" w:line="240" w:lineRule="auto"/>
        <w:rPr>
          <w:i/>
        </w:rPr>
      </w:pPr>
      <w:proofErr w:type="spellStart"/>
      <w:r w:rsidRPr="002F21BE">
        <w:rPr>
          <w:i/>
        </w:rPr>
        <w:t>Nmet</w:t>
      </w:r>
      <w:proofErr w:type="spellEnd"/>
      <w:r w:rsidRPr="002F21BE">
        <w:rPr>
          <w:i/>
        </w:rPr>
        <w:t xml:space="preserve">; P – patent – povinnou přílohou je patentová rešerše;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r w:rsidRPr="002F21BE">
        <w:rPr>
          <w:i/>
        </w:rPr>
        <w:t xml:space="preserve">R – software;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proofErr w:type="spellStart"/>
      <w:r w:rsidRPr="002F21BE">
        <w:rPr>
          <w:i/>
        </w:rPr>
        <w:t>Zpolop</w:t>
      </w:r>
      <w:proofErr w:type="spellEnd"/>
      <w:r w:rsidRPr="002F21BE">
        <w:rPr>
          <w:i/>
        </w:rPr>
        <w:t xml:space="preserve"> – poloprovoz;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proofErr w:type="spellStart"/>
      <w:r w:rsidRPr="002F21BE">
        <w:rPr>
          <w:i/>
        </w:rPr>
        <w:t>Ztech</w:t>
      </w:r>
      <w:proofErr w:type="spellEnd"/>
      <w:r w:rsidRPr="002F21BE">
        <w:rPr>
          <w:i/>
        </w:rPr>
        <w:t xml:space="preserve"> – ověřená technologie. </w:t>
      </w:r>
    </w:p>
    <w:p w:rsidR="00BB35D3" w:rsidRPr="002F21BE" w:rsidRDefault="00BB35D3" w:rsidP="00A863FE">
      <w:pPr>
        <w:spacing w:after="0" w:line="240" w:lineRule="auto"/>
        <w:rPr>
          <w:i/>
        </w:rPr>
      </w:pPr>
    </w:p>
    <w:p w:rsidR="00BB35D3" w:rsidRPr="002F21BE" w:rsidRDefault="00BB35D3" w:rsidP="00A863FE">
      <w:pPr>
        <w:spacing w:after="0" w:line="240" w:lineRule="auto"/>
        <w:rPr>
          <w:i/>
          <w:u w:val="single"/>
        </w:rPr>
      </w:pPr>
      <w:r w:rsidRPr="002F21BE">
        <w:rPr>
          <w:i/>
          <w:u w:val="single"/>
        </w:rPr>
        <w:t xml:space="preserve">Hlavní druhy výstupů/výsledků pouze v kombinaci s některým z výše uvedených: </w:t>
      </w:r>
    </w:p>
    <w:p w:rsidR="00BB35D3" w:rsidRPr="002F21BE" w:rsidRDefault="00BB35D3" w:rsidP="00A863FE">
      <w:pPr>
        <w:spacing w:after="0" w:line="240" w:lineRule="auto"/>
        <w:rPr>
          <w:i/>
        </w:rPr>
      </w:pPr>
      <w:r w:rsidRPr="002F21BE">
        <w:rPr>
          <w:i/>
        </w:rPr>
        <w:t xml:space="preserve">A - audiovizuální tvorba;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r w:rsidRPr="002F21BE">
        <w:rPr>
          <w:i/>
        </w:rPr>
        <w:t xml:space="preserve">B - odborná kniha;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r w:rsidRPr="002F21BE">
        <w:rPr>
          <w:i/>
        </w:rPr>
        <w:t xml:space="preserve">C - kapitola v odborné knize;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r w:rsidRPr="002F21BE">
        <w:rPr>
          <w:i/>
        </w:rPr>
        <w:t xml:space="preserve">D - stať ve sborníku;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r w:rsidRPr="002F21BE">
        <w:rPr>
          <w:i/>
        </w:rPr>
        <w:t xml:space="preserve">E - uspořádání výstavy;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proofErr w:type="spellStart"/>
      <w:r w:rsidRPr="002F21BE">
        <w:rPr>
          <w:i/>
        </w:rPr>
        <w:t>Jimp</w:t>
      </w:r>
      <w:proofErr w:type="spellEnd"/>
      <w:r w:rsidRPr="002F21BE">
        <w:rPr>
          <w:i/>
        </w:rPr>
        <w:t xml:space="preserve">*, </w:t>
      </w:r>
      <w:proofErr w:type="spellStart"/>
      <w:r w:rsidRPr="002F21BE">
        <w:rPr>
          <w:i/>
        </w:rPr>
        <w:t>Jsc</w:t>
      </w:r>
      <w:proofErr w:type="spellEnd"/>
      <w:r w:rsidRPr="002F21BE">
        <w:rPr>
          <w:i/>
        </w:rPr>
        <w:t xml:space="preserve">*, </w:t>
      </w:r>
      <w:proofErr w:type="spellStart"/>
      <w:r w:rsidRPr="002F21BE">
        <w:rPr>
          <w:i/>
        </w:rPr>
        <w:t>Jost</w:t>
      </w:r>
      <w:proofErr w:type="spellEnd"/>
      <w:r w:rsidRPr="002F21BE">
        <w:rPr>
          <w:i/>
        </w:rPr>
        <w:t xml:space="preserve">*- recenzovaný odborný článek;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r w:rsidRPr="002F21BE">
        <w:rPr>
          <w:i/>
        </w:rPr>
        <w:t xml:space="preserve">M - uspořádání konference;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r w:rsidRPr="002F21BE">
        <w:rPr>
          <w:i/>
        </w:rPr>
        <w:t xml:space="preserve">S - specializovaná veřejná databáze; </w:t>
      </w:r>
    </w:p>
    <w:p w:rsidR="00BB35D3" w:rsidRPr="002F21BE" w:rsidRDefault="00BB35D3" w:rsidP="00A863FE">
      <w:pPr>
        <w:spacing w:after="0" w:line="240" w:lineRule="auto"/>
        <w:rPr>
          <w:i/>
        </w:rPr>
      </w:pPr>
      <w:r w:rsidRPr="002F21BE">
        <w:rPr>
          <w:i/>
        </w:rPr>
        <w:t xml:space="preserve">W - uspořádání workshopu; </w:t>
      </w:r>
    </w:p>
    <w:p w:rsidR="00BB35D3" w:rsidRDefault="00BB35D3" w:rsidP="00A863FE">
      <w:pPr>
        <w:spacing w:after="0" w:line="240" w:lineRule="auto"/>
        <w:rPr>
          <w:i/>
        </w:rPr>
      </w:pPr>
      <w:r w:rsidRPr="002F21BE">
        <w:rPr>
          <w:i/>
        </w:rPr>
        <w:t>O - ostatní výsledky.</w:t>
      </w:r>
    </w:p>
    <w:p w:rsidR="00BB35D3" w:rsidRDefault="00BB35D3" w:rsidP="00A863FE">
      <w:pPr>
        <w:spacing w:after="0" w:line="240" w:lineRule="auto"/>
      </w:pPr>
    </w:p>
    <w:p w:rsidR="00BB35D3" w:rsidRDefault="00BB35D3" w:rsidP="00A863FE">
      <w:pPr>
        <w:spacing w:after="0" w:line="240" w:lineRule="auto"/>
      </w:pPr>
      <w:r w:rsidRPr="002F21BE">
        <w:rPr>
          <w:b/>
        </w:rPr>
        <w:t>Otevřený přístup:</w:t>
      </w:r>
      <w:r>
        <w:t xml:space="preserve"> </w:t>
      </w:r>
    </w:p>
    <w:p w:rsidR="00BB35D3" w:rsidRDefault="00BB35D3" w:rsidP="00A863FE">
      <w:pPr>
        <w:spacing w:after="0" w:line="240" w:lineRule="auto"/>
      </w:pPr>
      <w:r>
        <w:t xml:space="preserve">Uchazeči jsou povinni v této veřejné soutěži zajistit otevřený přístup „open </w:t>
      </w:r>
      <w:proofErr w:type="spellStart"/>
      <w:r>
        <w:t>access</w:t>
      </w:r>
      <w:proofErr w:type="spellEnd"/>
      <w:r>
        <w:t>” k druhům výstupů/výsledků označeným hvězdičkou (*) a k souvisejícím výzkumným datům. V případě výsledků jiných druhů, u kterých je zpřístupnění technicky snadné (článek ve sborníku, kapitola v odborné knize apod.), je zpřístupnění obzvlášť vítané a doporučované</w:t>
      </w:r>
      <w:r w:rsidR="00A863FE">
        <w:t xml:space="preserve">. Více informací viz </w:t>
      </w:r>
      <w:hyperlink r:id="rId13" w:history="1">
        <w:r w:rsidR="00A863FE" w:rsidRPr="00A863FE">
          <w:rPr>
            <w:rStyle w:val="Hypertextovodkaz"/>
          </w:rPr>
          <w:t>Příloha č. 3</w:t>
        </w:r>
      </w:hyperlink>
      <w:r w:rsidR="00A863FE">
        <w:t>.</w:t>
      </w:r>
    </w:p>
    <w:p w:rsidR="00BB35D3" w:rsidRDefault="00BB35D3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BB35D3" w:rsidRDefault="00BB35D3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Aplikační garant</w:t>
      </w:r>
      <w:r w:rsidR="003D709A">
        <w:rPr>
          <w:b/>
          <w:color w:val="1F4E79" w:themeColor="accent1" w:themeShade="80"/>
          <w:sz w:val="28"/>
          <w:szCs w:val="28"/>
        </w:rPr>
        <w:t>:</w:t>
      </w:r>
    </w:p>
    <w:p w:rsidR="003D709A" w:rsidRDefault="003D709A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BB35D3" w:rsidRPr="0083332B" w:rsidRDefault="00BB35D3" w:rsidP="00A863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3332B">
        <w:rPr>
          <w:rFonts w:ascii="Calibri" w:hAnsi="Calibri" w:cs="Calibri"/>
          <w:color w:val="000000"/>
        </w:rPr>
        <w:t xml:space="preserve">Aplikování výstupů/výsledků zajišťují buď: </w:t>
      </w:r>
    </w:p>
    <w:p w:rsidR="00BB35D3" w:rsidRDefault="00BB35D3" w:rsidP="00A863F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3332B">
        <w:rPr>
          <w:rFonts w:ascii="Calibri" w:hAnsi="Calibri" w:cs="Calibri"/>
          <w:color w:val="000000"/>
        </w:rPr>
        <w:t xml:space="preserve">uchazeči návrhu projektu </w:t>
      </w:r>
      <w:r w:rsidRPr="0083332B">
        <w:rPr>
          <w:rFonts w:ascii="Calibri" w:hAnsi="Calibri" w:cs="Calibri"/>
          <w:b/>
          <w:bCs/>
          <w:color w:val="000000"/>
        </w:rPr>
        <w:t xml:space="preserve">(interní aplikační garant) </w:t>
      </w:r>
      <w:r w:rsidRPr="0083332B">
        <w:rPr>
          <w:rFonts w:ascii="Calibri" w:hAnsi="Calibri" w:cs="Calibri"/>
          <w:color w:val="000000"/>
        </w:rPr>
        <w:t xml:space="preserve">a/nebo </w:t>
      </w:r>
    </w:p>
    <w:p w:rsidR="00BB35D3" w:rsidRPr="0083332B" w:rsidRDefault="00BB35D3" w:rsidP="00A863F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3332B">
        <w:rPr>
          <w:rFonts w:ascii="Calibri" w:hAnsi="Calibri" w:cs="Calibri"/>
          <w:color w:val="000000"/>
        </w:rPr>
        <w:t xml:space="preserve">jiný subjekt, který není zapojen do řešení projektu </w:t>
      </w:r>
      <w:r w:rsidRPr="0083332B">
        <w:rPr>
          <w:rFonts w:ascii="Calibri" w:hAnsi="Calibri" w:cs="Calibri"/>
          <w:b/>
          <w:bCs/>
          <w:color w:val="000000"/>
        </w:rPr>
        <w:t>(externí aplikační garant)</w:t>
      </w:r>
      <w:r w:rsidRPr="0083332B">
        <w:rPr>
          <w:rFonts w:ascii="Calibri" w:hAnsi="Calibri" w:cs="Calibri"/>
          <w:color w:val="000000"/>
        </w:rPr>
        <w:t xml:space="preserve">. </w:t>
      </w:r>
    </w:p>
    <w:p w:rsidR="00BB35D3" w:rsidRPr="0083332B" w:rsidRDefault="00BB35D3" w:rsidP="00A863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754C2" w:rsidRPr="001B6ECD" w:rsidRDefault="00BB35D3" w:rsidP="00A863FE">
      <w:pPr>
        <w:spacing w:after="0" w:line="240" w:lineRule="auto"/>
        <w:rPr>
          <w:rFonts w:ascii="Calibri" w:hAnsi="Calibri" w:cs="Calibri"/>
          <w:color w:val="FF0000"/>
        </w:rPr>
      </w:pPr>
      <w:r w:rsidRPr="001B6ECD">
        <w:rPr>
          <w:rFonts w:ascii="Calibri" w:hAnsi="Calibri" w:cs="Calibri"/>
          <w:color w:val="FF0000"/>
        </w:rPr>
        <w:t xml:space="preserve">Každý návrh projektu musí mít </w:t>
      </w:r>
      <w:r w:rsidRPr="001B6ECD">
        <w:rPr>
          <w:rFonts w:ascii="Calibri" w:hAnsi="Calibri" w:cs="Calibri"/>
          <w:b/>
          <w:bCs/>
          <w:color w:val="FF0000"/>
        </w:rPr>
        <w:t xml:space="preserve">právě jednoho </w:t>
      </w:r>
      <w:r w:rsidRPr="001B6ECD">
        <w:rPr>
          <w:rFonts w:ascii="Calibri" w:hAnsi="Calibri" w:cs="Calibri"/>
          <w:color w:val="FF0000"/>
        </w:rPr>
        <w:t xml:space="preserve">aplikačního garanta z České republiky. Interní aplikační garant může být kdokoliv z uchazečů. Externím aplikačním garantem může být jakákoliv právnická osoba, která nenaplňuje definici podniku. </w:t>
      </w:r>
      <w:r w:rsidR="009754C2" w:rsidRPr="001B6ECD">
        <w:rPr>
          <w:rFonts w:ascii="Calibri" w:hAnsi="Calibri" w:cs="Calibri"/>
          <w:color w:val="FF0000"/>
        </w:rPr>
        <w:t xml:space="preserve">Více informací o aplikačním garantovi viz </w:t>
      </w:r>
      <w:hyperlink r:id="rId14" w:history="1">
        <w:r w:rsidR="009754C2" w:rsidRPr="001B6ECD">
          <w:rPr>
            <w:rStyle w:val="Hypertextovodkaz"/>
            <w:rFonts w:ascii="Calibri" w:hAnsi="Calibri" w:cs="Calibri"/>
            <w:color w:val="FF0000"/>
          </w:rPr>
          <w:t>Příloha č. 2 Aplikační garant</w:t>
        </w:r>
      </w:hyperlink>
      <w:r w:rsidR="009754C2" w:rsidRPr="001B6ECD">
        <w:rPr>
          <w:rFonts w:ascii="Calibri" w:hAnsi="Calibri" w:cs="Calibri"/>
          <w:color w:val="FF0000"/>
        </w:rPr>
        <w:t>.</w:t>
      </w:r>
    </w:p>
    <w:p w:rsidR="00BB35D3" w:rsidRDefault="00BB35D3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BB35D3" w:rsidRDefault="00BB35D3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Podání návrhu</w:t>
      </w:r>
      <w:r w:rsidRPr="00525099">
        <w:rPr>
          <w:b/>
          <w:color w:val="1F4E79" w:themeColor="accent1" w:themeShade="80"/>
          <w:sz w:val="28"/>
          <w:szCs w:val="28"/>
        </w:rPr>
        <w:t xml:space="preserve"> projektu:</w:t>
      </w:r>
    </w:p>
    <w:p w:rsidR="003D709A" w:rsidRPr="00E143FA" w:rsidRDefault="003D709A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BB35D3" w:rsidRDefault="00BB35D3" w:rsidP="00A863FE">
      <w:pPr>
        <w:spacing w:after="0" w:line="240" w:lineRule="auto"/>
      </w:pPr>
      <w:r>
        <w:t xml:space="preserve">Návrh projektu musí být do veřejné soutěže podán v elektronické podobě prostřednictvím ISTA. </w:t>
      </w:r>
    </w:p>
    <w:p w:rsidR="003D709A" w:rsidRDefault="003D709A" w:rsidP="00A863FE">
      <w:pPr>
        <w:spacing w:after="0" w:line="240" w:lineRule="auto"/>
      </w:pPr>
    </w:p>
    <w:p w:rsidR="00BB35D3" w:rsidRDefault="00BB35D3" w:rsidP="00A863FE">
      <w:pPr>
        <w:spacing w:after="0" w:line="240" w:lineRule="auto"/>
      </w:pPr>
      <w:r>
        <w:t xml:space="preserve">Po podání návrhu projektu prostřednictvím ISTA vlastník6 návrhu projektu vygeneruje dokument </w:t>
      </w:r>
      <w:r w:rsidRPr="00126231">
        <w:rPr>
          <w:b/>
        </w:rPr>
        <w:t>„Potvrzení podání elektronického návrhu projektu do ISTA”</w:t>
      </w:r>
      <w:r>
        <w:t xml:space="preserve">. Tento dokument obsahuje jednoznačné identifikátory, které musí být shodné s elektronicky odeslaným návrhem projektu. </w:t>
      </w:r>
    </w:p>
    <w:p w:rsidR="003D709A" w:rsidRDefault="003D709A" w:rsidP="00A863FE">
      <w:pPr>
        <w:spacing w:after="0" w:line="240" w:lineRule="auto"/>
      </w:pPr>
    </w:p>
    <w:p w:rsidR="00BB35D3" w:rsidRDefault="00BB35D3" w:rsidP="00A863FE">
      <w:pPr>
        <w:spacing w:after="0" w:line="240" w:lineRule="auto"/>
      </w:pPr>
      <w:r>
        <w:lastRenderedPageBreak/>
        <w:t xml:space="preserve">Potvrzení podání elektronického návrhu projektu do ISTA: </w:t>
      </w:r>
    </w:p>
    <w:p w:rsidR="003D709A" w:rsidRDefault="00BB35D3" w:rsidP="00A863FE">
      <w:pPr>
        <w:pStyle w:val="Odstavecseseznamem"/>
        <w:numPr>
          <w:ilvl w:val="0"/>
          <w:numId w:val="17"/>
        </w:numPr>
        <w:spacing w:after="0" w:line="240" w:lineRule="auto"/>
      </w:pPr>
      <w:r>
        <w:t xml:space="preserve">musí být odesláno z datové schránky hlavního uchazeče do datové schránky TA ČR (ID datové schránky: afth9xp); </w:t>
      </w:r>
    </w:p>
    <w:p w:rsidR="00BB35D3" w:rsidRPr="003D709A" w:rsidRDefault="00BB35D3" w:rsidP="00A863FE">
      <w:pPr>
        <w:pStyle w:val="Odstavecseseznamem"/>
        <w:numPr>
          <w:ilvl w:val="0"/>
          <w:numId w:val="17"/>
        </w:numPr>
        <w:spacing w:after="0" w:line="240" w:lineRule="auto"/>
      </w:pPr>
      <w:r>
        <w:t>v náležitostech zprávy v datovém poli „Věc“ uveďte „Program SIGMA – DC3 – Potvrzení podání“.</w:t>
      </w:r>
    </w:p>
    <w:p w:rsidR="003D709A" w:rsidRDefault="003D709A" w:rsidP="00A863FE">
      <w:pPr>
        <w:spacing w:after="0" w:line="240" w:lineRule="auto"/>
        <w:rPr>
          <w:i/>
          <w:u w:val="single"/>
        </w:rPr>
      </w:pPr>
    </w:p>
    <w:p w:rsidR="00894BEB" w:rsidRDefault="00894BEB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0036D5">
        <w:rPr>
          <w:b/>
          <w:color w:val="1F4E79" w:themeColor="accent1" w:themeShade="80"/>
          <w:sz w:val="28"/>
          <w:szCs w:val="28"/>
        </w:rPr>
        <w:t>Požadavky na způsobilost:</w:t>
      </w:r>
    </w:p>
    <w:p w:rsidR="003D709A" w:rsidRPr="000036D5" w:rsidRDefault="003D709A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4540B9" w:rsidRPr="000036D5" w:rsidRDefault="004540B9" w:rsidP="00A863FE">
      <w:pPr>
        <w:spacing w:after="0" w:line="240" w:lineRule="auto"/>
        <w:rPr>
          <w:b/>
        </w:rPr>
      </w:pPr>
      <w:r w:rsidRPr="000036D5">
        <w:rPr>
          <w:b/>
        </w:rPr>
        <w:t>Požadavky na způsobilost:</w:t>
      </w:r>
    </w:p>
    <w:p w:rsidR="004540B9" w:rsidRDefault="004540B9" w:rsidP="00A863FE">
      <w:pPr>
        <w:spacing w:after="0" w:line="240" w:lineRule="auto"/>
        <w:jc w:val="both"/>
        <w:rPr>
          <w:b/>
        </w:rPr>
      </w:pPr>
      <w:r w:rsidRPr="000036D5">
        <w:rPr>
          <w:b/>
        </w:rPr>
        <w:t xml:space="preserve">Čestné prohlášení za uchazeče – bude zajištěno rektorátem prostřednictvím datové schránky centrálně za všechny projekty ve lhůtě stanovené poskytovatelem. </w:t>
      </w:r>
      <w:r w:rsidRPr="000036D5">
        <w:t>Všichni uchazeči musí zaslat ČP o prokázání způsobilosti uchazeče ze své datové schránky a v kolonce Věc musí být uvedeno:</w:t>
      </w:r>
      <w:r w:rsidRPr="000036D5">
        <w:rPr>
          <w:b/>
        </w:rPr>
        <w:t xml:space="preserve"> </w:t>
      </w:r>
      <w:r w:rsidRPr="00126231">
        <w:rPr>
          <w:b/>
        </w:rPr>
        <w:t>„</w:t>
      </w:r>
      <w:r w:rsidR="00126231" w:rsidRPr="00126231">
        <w:rPr>
          <w:b/>
        </w:rPr>
        <w:t>Program SIGMA – DC3 – Prokázání způsobilost</w:t>
      </w:r>
      <w:r w:rsidRPr="00126231">
        <w:rPr>
          <w:b/>
        </w:rPr>
        <w:t>“</w:t>
      </w:r>
      <w:r w:rsidRPr="000036D5">
        <w:rPr>
          <w:b/>
        </w:rPr>
        <w:t xml:space="preserve">. </w:t>
      </w:r>
      <w:r w:rsidRPr="001F1840">
        <w:t>Zahraniční uchazeči</w:t>
      </w:r>
      <w:r w:rsidR="000036D5" w:rsidRPr="001F1840">
        <w:t xml:space="preserve"> nebo ti, kteří nemají datovou schránku</w:t>
      </w:r>
      <w:r w:rsidRPr="001F1840">
        <w:t xml:space="preserve"> zašlou doklady prokazující způsobilost v listinné podobě.</w:t>
      </w:r>
      <w:r w:rsidRPr="000036D5">
        <w:rPr>
          <w:b/>
        </w:rPr>
        <w:t xml:space="preserve"> </w:t>
      </w:r>
    </w:p>
    <w:p w:rsidR="003D709A" w:rsidRPr="000036D5" w:rsidRDefault="003D709A" w:rsidP="00A863FE">
      <w:pPr>
        <w:spacing w:after="0" w:line="240" w:lineRule="auto"/>
        <w:jc w:val="both"/>
        <w:rPr>
          <w:b/>
        </w:rPr>
      </w:pPr>
    </w:p>
    <w:p w:rsidR="00894BEB" w:rsidRDefault="004540B9" w:rsidP="00A863FE">
      <w:pPr>
        <w:spacing w:after="0" w:line="240" w:lineRule="auto"/>
        <w:jc w:val="both"/>
        <w:rPr>
          <w:b/>
        </w:rPr>
      </w:pPr>
      <w:r w:rsidRPr="000036D5">
        <w:rPr>
          <w:b/>
        </w:rPr>
        <w:t>VUT splňuje povinnost zveřejnit účetní závěrku tím, že vydává výroční zprávu o hospodaření.</w:t>
      </w:r>
    </w:p>
    <w:p w:rsidR="003D709A" w:rsidRDefault="003D709A" w:rsidP="00A863FE">
      <w:pPr>
        <w:spacing w:after="0" w:line="240" w:lineRule="auto"/>
        <w:jc w:val="both"/>
        <w:rPr>
          <w:b/>
        </w:rPr>
      </w:pPr>
    </w:p>
    <w:p w:rsidR="00AA343B" w:rsidRPr="009754C2" w:rsidRDefault="00AA343B" w:rsidP="00A863FE">
      <w:pPr>
        <w:spacing w:after="0" w:line="240" w:lineRule="auto"/>
        <w:jc w:val="both"/>
        <w:rPr>
          <w:b/>
        </w:rPr>
      </w:pPr>
      <w:r w:rsidRPr="009754C2">
        <w:rPr>
          <w:b/>
        </w:rPr>
        <w:t>Uchazeči musí být zapsaní v evidenci skutečných majitelů. Pokud uchazeč není zapsán v evidenci skutečných majitelů do termínu konce soutěžní lhůty, nepřijme TA ČR návrh projektu do veřejné soutěže.</w:t>
      </w:r>
    </w:p>
    <w:p w:rsidR="00126231" w:rsidRDefault="00126231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287745" w:rsidRDefault="003206E0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Povinné přílohy:</w:t>
      </w:r>
    </w:p>
    <w:p w:rsidR="003D709A" w:rsidRDefault="003D709A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:rsidR="009754C2" w:rsidRPr="009754C2" w:rsidRDefault="009754C2" w:rsidP="00A863FE">
      <w:pPr>
        <w:spacing w:after="0" w:line="240" w:lineRule="auto"/>
        <w:rPr>
          <w:b/>
          <w:szCs w:val="28"/>
          <w:u w:val="single"/>
        </w:rPr>
      </w:pPr>
      <w:r w:rsidRPr="009754C2">
        <w:rPr>
          <w:b/>
          <w:szCs w:val="28"/>
          <w:u w:val="single"/>
        </w:rPr>
        <w:t>Prostřednictvím datové schránky:</w:t>
      </w:r>
    </w:p>
    <w:p w:rsidR="00BB35D3" w:rsidRPr="00BB35D3" w:rsidRDefault="00BB35D3" w:rsidP="00A863FE">
      <w:pPr>
        <w:pStyle w:val="Odstavecseseznamem"/>
        <w:numPr>
          <w:ilvl w:val="0"/>
          <w:numId w:val="23"/>
        </w:num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BB35D3">
        <w:rPr>
          <w:b/>
        </w:rPr>
        <w:t xml:space="preserve">Čestné prohlášení za uchazeče </w:t>
      </w:r>
      <w:r w:rsidR="009754C2">
        <w:rPr>
          <w:b/>
        </w:rPr>
        <w:t xml:space="preserve">– </w:t>
      </w:r>
      <w:r w:rsidR="009754C2" w:rsidRPr="009754C2">
        <w:t>hlavní uchazeč i další účastníci</w:t>
      </w:r>
    </w:p>
    <w:p w:rsidR="009754C2" w:rsidRPr="0017399A" w:rsidRDefault="00BB35D3" w:rsidP="00A863FE">
      <w:pPr>
        <w:pStyle w:val="Odstavecseseznamem"/>
        <w:numPr>
          <w:ilvl w:val="0"/>
          <w:numId w:val="23"/>
        </w:numPr>
        <w:spacing w:after="0" w:line="240" w:lineRule="auto"/>
        <w:rPr>
          <w:b/>
        </w:rPr>
      </w:pPr>
      <w:r w:rsidRPr="00BB35D3">
        <w:rPr>
          <w:b/>
        </w:rPr>
        <w:t>Potvrzení podání elektronického návrhu do ISTA</w:t>
      </w:r>
    </w:p>
    <w:p w:rsidR="009754C2" w:rsidRDefault="009754C2" w:rsidP="00A863FE">
      <w:pPr>
        <w:spacing w:after="0" w:line="240" w:lineRule="auto"/>
        <w:rPr>
          <w:b/>
        </w:rPr>
      </w:pPr>
    </w:p>
    <w:p w:rsidR="009754C2" w:rsidRPr="009754C2" w:rsidRDefault="009754C2" w:rsidP="00A863FE">
      <w:pPr>
        <w:spacing w:after="0" w:line="240" w:lineRule="auto"/>
        <w:rPr>
          <w:b/>
          <w:u w:val="single"/>
        </w:rPr>
      </w:pPr>
      <w:r w:rsidRPr="009754C2">
        <w:rPr>
          <w:b/>
          <w:u w:val="single"/>
        </w:rPr>
        <w:t>Prostřednictvím příloh projektu do ISTA:</w:t>
      </w:r>
    </w:p>
    <w:p w:rsidR="009754C2" w:rsidRPr="00BB35D3" w:rsidRDefault="009754C2" w:rsidP="00A863FE">
      <w:pPr>
        <w:pStyle w:val="Odstavecseseznamem"/>
        <w:numPr>
          <w:ilvl w:val="0"/>
          <w:numId w:val="23"/>
        </w:numPr>
        <w:spacing w:after="0" w:line="240" w:lineRule="auto"/>
        <w:rPr>
          <w:b/>
        </w:rPr>
      </w:pPr>
      <w:r w:rsidRPr="00BB35D3">
        <w:rPr>
          <w:b/>
        </w:rPr>
        <w:t>Účet</w:t>
      </w:r>
      <w:r w:rsidR="0017399A">
        <w:rPr>
          <w:b/>
        </w:rPr>
        <w:t>n</w:t>
      </w:r>
      <w:r w:rsidRPr="00BB35D3">
        <w:rPr>
          <w:b/>
        </w:rPr>
        <w:t>í závěrky za roky 2018, 2019, 2020</w:t>
      </w:r>
    </w:p>
    <w:p w:rsidR="009754C2" w:rsidRPr="00BB35D3" w:rsidRDefault="009754C2" w:rsidP="00A863FE">
      <w:pPr>
        <w:pStyle w:val="Odstavecseseznamem"/>
        <w:numPr>
          <w:ilvl w:val="0"/>
          <w:numId w:val="23"/>
        </w:numPr>
        <w:spacing w:after="0" w:line="240" w:lineRule="auto"/>
        <w:rPr>
          <w:b/>
        </w:rPr>
      </w:pPr>
      <w:r w:rsidRPr="00BB35D3">
        <w:rPr>
          <w:rFonts w:ascii="Calibri" w:hAnsi="Calibri" w:cs="Calibri"/>
          <w:b/>
          <w:color w:val="000000"/>
        </w:rPr>
        <w:t>V případě výsledků:</w:t>
      </w:r>
      <w:r w:rsidRPr="00BB35D3">
        <w:rPr>
          <w:b/>
        </w:rPr>
        <w:t xml:space="preserve"> </w:t>
      </w:r>
    </w:p>
    <w:p w:rsidR="009754C2" w:rsidRPr="00BB35D3" w:rsidRDefault="009754C2" w:rsidP="00A863FE">
      <w:pPr>
        <w:pStyle w:val="Odstavecseseznamem"/>
        <w:numPr>
          <w:ilvl w:val="0"/>
          <w:numId w:val="17"/>
        </w:numPr>
        <w:spacing w:after="0" w:line="240" w:lineRule="auto"/>
        <w:rPr>
          <w:b/>
        </w:rPr>
      </w:pPr>
      <w:proofErr w:type="spellStart"/>
      <w:r w:rsidRPr="0017399A">
        <w:rPr>
          <w:b/>
        </w:rPr>
        <w:t>NmetC</w:t>
      </w:r>
      <w:proofErr w:type="spellEnd"/>
      <w:r w:rsidRPr="0017399A">
        <w:rPr>
          <w:b/>
        </w:rPr>
        <w:t>*</w:t>
      </w:r>
      <w:r w:rsidRPr="00BB35D3">
        <w:t xml:space="preserve"> – metodika certifikovaná oprávněným orgánem – </w:t>
      </w:r>
      <w:r w:rsidRPr="00BB35D3">
        <w:rPr>
          <w:b/>
        </w:rPr>
        <w:t xml:space="preserve">povinnou přílohou je Formulář pro druh výsledku </w:t>
      </w:r>
      <w:proofErr w:type="spellStart"/>
      <w:r w:rsidRPr="00BB35D3">
        <w:rPr>
          <w:b/>
        </w:rPr>
        <w:t>Nmet</w:t>
      </w:r>
      <w:proofErr w:type="spellEnd"/>
      <w:r w:rsidRPr="00BB35D3">
        <w:rPr>
          <w:b/>
        </w:rPr>
        <w:t xml:space="preserve">; </w:t>
      </w:r>
    </w:p>
    <w:p w:rsidR="009754C2" w:rsidRPr="00BB35D3" w:rsidRDefault="009754C2" w:rsidP="00A863FE">
      <w:pPr>
        <w:pStyle w:val="Odstavecseseznamem"/>
        <w:numPr>
          <w:ilvl w:val="0"/>
          <w:numId w:val="17"/>
        </w:numPr>
        <w:spacing w:after="0" w:line="240" w:lineRule="auto"/>
        <w:rPr>
          <w:b/>
        </w:rPr>
      </w:pPr>
      <w:proofErr w:type="spellStart"/>
      <w:r w:rsidRPr="0017399A">
        <w:rPr>
          <w:b/>
        </w:rPr>
        <w:t>NmetA</w:t>
      </w:r>
      <w:proofErr w:type="spellEnd"/>
      <w:r w:rsidRPr="0017399A">
        <w:rPr>
          <w:b/>
        </w:rPr>
        <w:t>*</w:t>
      </w:r>
      <w:r w:rsidRPr="00BB35D3">
        <w:t xml:space="preserve"> – metodika a postup akreditované oprávněným orgánem – </w:t>
      </w:r>
      <w:r w:rsidRPr="00BB35D3">
        <w:rPr>
          <w:b/>
        </w:rPr>
        <w:t xml:space="preserve">povinnou přílohou je Formulář pro druh výsledku </w:t>
      </w:r>
      <w:proofErr w:type="spellStart"/>
      <w:r w:rsidRPr="00BB35D3">
        <w:rPr>
          <w:b/>
        </w:rPr>
        <w:t>Nmet</w:t>
      </w:r>
      <w:proofErr w:type="spellEnd"/>
      <w:r w:rsidRPr="00BB35D3">
        <w:rPr>
          <w:b/>
        </w:rPr>
        <w:t xml:space="preserve">; </w:t>
      </w:r>
    </w:p>
    <w:p w:rsidR="009754C2" w:rsidRPr="0017399A" w:rsidRDefault="009754C2" w:rsidP="00A863FE">
      <w:pPr>
        <w:pStyle w:val="Odstavecseseznamem"/>
        <w:numPr>
          <w:ilvl w:val="0"/>
          <w:numId w:val="17"/>
        </w:numPr>
        <w:spacing w:after="0" w:line="240" w:lineRule="auto"/>
        <w:rPr>
          <w:b/>
        </w:rPr>
      </w:pPr>
      <w:proofErr w:type="spellStart"/>
      <w:r w:rsidRPr="0017399A">
        <w:rPr>
          <w:b/>
        </w:rPr>
        <w:t>NmetS</w:t>
      </w:r>
      <w:proofErr w:type="spellEnd"/>
      <w:r w:rsidRPr="0017399A">
        <w:rPr>
          <w:b/>
        </w:rPr>
        <w:t>*</w:t>
      </w:r>
      <w:r w:rsidRPr="00BB35D3">
        <w:t xml:space="preserve"> – metodika schválená příslušným orgánem státní správy, do jehož kompetence daná problematika spadá – </w:t>
      </w:r>
      <w:r w:rsidRPr="00BB35D3">
        <w:rPr>
          <w:b/>
        </w:rPr>
        <w:t xml:space="preserve">povinnou přílohou je Formulář pro druh </w:t>
      </w:r>
      <w:r w:rsidRPr="0017399A">
        <w:t xml:space="preserve">výsledku </w:t>
      </w:r>
      <w:proofErr w:type="spellStart"/>
      <w:r w:rsidRPr="0017399A">
        <w:t>Nmet</w:t>
      </w:r>
      <w:proofErr w:type="spellEnd"/>
      <w:r w:rsidRPr="0017399A">
        <w:t>;</w:t>
      </w:r>
      <w:r w:rsidRPr="00BB35D3">
        <w:t xml:space="preserve"> </w:t>
      </w:r>
    </w:p>
    <w:p w:rsidR="009754C2" w:rsidRPr="00BB35D3" w:rsidRDefault="009754C2" w:rsidP="00A863FE">
      <w:pPr>
        <w:pStyle w:val="Odstavecseseznamem"/>
        <w:numPr>
          <w:ilvl w:val="0"/>
          <w:numId w:val="17"/>
        </w:numPr>
        <w:spacing w:after="0" w:line="240" w:lineRule="auto"/>
        <w:rPr>
          <w:b/>
        </w:rPr>
      </w:pPr>
      <w:r w:rsidRPr="0017399A">
        <w:rPr>
          <w:b/>
        </w:rPr>
        <w:t>P</w:t>
      </w:r>
      <w:r w:rsidRPr="00BB35D3">
        <w:t xml:space="preserve"> – patent – </w:t>
      </w:r>
      <w:r w:rsidRPr="00BB35D3">
        <w:rPr>
          <w:b/>
        </w:rPr>
        <w:t xml:space="preserve">povinnou přílohou je patentová rešerše; </w:t>
      </w:r>
    </w:p>
    <w:p w:rsidR="009754C2" w:rsidRPr="00BB35D3" w:rsidRDefault="009754C2" w:rsidP="00A863FE">
      <w:pPr>
        <w:pStyle w:val="Odstavecseseznamem"/>
        <w:numPr>
          <w:ilvl w:val="0"/>
          <w:numId w:val="23"/>
        </w:numPr>
        <w:spacing w:after="0" w:line="240" w:lineRule="auto"/>
        <w:rPr>
          <w:b/>
        </w:rPr>
      </w:pPr>
      <w:r w:rsidRPr="00BB35D3">
        <w:rPr>
          <w:b/>
        </w:rPr>
        <w:t>V případě externího aplikačního garanta</w:t>
      </w:r>
      <w:r w:rsidRPr="00BB35D3">
        <w:t xml:space="preserve"> - </w:t>
      </w:r>
      <w:r w:rsidRPr="0017399A">
        <w:t>povinná příloh</w:t>
      </w:r>
      <w:r w:rsidR="001B6ECD">
        <w:t>a</w:t>
      </w:r>
      <w:r w:rsidRPr="0017399A">
        <w:t>, která prokáže zájem aplikačního garanta o výstupy/výsledky návrhu projektu.</w:t>
      </w:r>
      <w:r w:rsidRPr="00BB35D3">
        <w:t xml:space="preserve"> </w:t>
      </w:r>
    </w:p>
    <w:p w:rsidR="009754C2" w:rsidRPr="0017399A" w:rsidRDefault="009754C2" w:rsidP="00A863FE">
      <w:pPr>
        <w:pStyle w:val="Odstavecseseznamem"/>
        <w:numPr>
          <w:ilvl w:val="0"/>
          <w:numId w:val="23"/>
        </w:numPr>
        <w:spacing w:after="0" w:line="240" w:lineRule="auto"/>
        <w:rPr>
          <w:b/>
        </w:rPr>
      </w:pPr>
      <w:r w:rsidRPr="0017399A">
        <w:rPr>
          <w:b/>
        </w:rPr>
        <w:t xml:space="preserve">V případě účasti dalšího účastníka ze zahraniční </w:t>
      </w:r>
    </w:p>
    <w:p w:rsidR="009754C2" w:rsidRPr="009754C2" w:rsidRDefault="009754C2" w:rsidP="00A863FE">
      <w:pPr>
        <w:pStyle w:val="Odstavecseseznamem"/>
        <w:numPr>
          <w:ilvl w:val="0"/>
          <w:numId w:val="17"/>
        </w:numPr>
        <w:spacing w:after="0" w:line="240" w:lineRule="auto"/>
      </w:pPr>
      <w:r w:rsidRPr="009754C2">
        <w:t>údaje o skutečném majiteli</w:t>
      </w:r>
    </w:p>
    <w:p w:rsidR="009754C2" w:rsidRPr="009754C2" w:rsidRDefault="0035516F" w:rsidP="00A863F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>č</w:t>
      </w:r>
      <w:r w:rsidR="009754C2" w:rsidRPr="009754C2">
        <w:rPr>
          <w:rFonts w:ascii="Calibri" w:hAnsi="Calibri" w:cs="Calibri"/>
          <w:color w:val="000000"/>
        </w:rPr>
        <w:t xml:space="preserve">estné prohlášení, které bude obsahovat finanční položky potřebné k výpočtu podniku v obtížích za roky 2018, 2019 a 2020 </w:t>
      </w:r>
    </w:p>
    <w:p w:rsidR="00767B2D" w:rsidRPr="00BB35D3" w:rsidRDefault="00767B2D" w:rsidP="00A863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754C2" w:rsidRPr="0035516F" w:rsidRDefault="009754C2" w:rsidP="00A863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  <w:u w:val="single"/>
        </w:rPr>
      </w:pPr>
      <w:r w:rsidRPr="0035516F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 xml:space="preserve">Náležitosti, které uchazeči dokládají prostřednictvím ISTA: </w:t>
      </w:r>
    </w:p>
    <w:p w:rsidR="009754C2" w:rsidRPr="002C5B89" w:rsidRDefault="009754C2" w:rsidP="00A863F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C5B89">
        <w:rPr>
          <w:rFonts w:ascii="Calibri" w:hAnsi="Calibri" w:cs="Calibri"/>
        </w:rPr>
        <w:t xml:space="preserve">odborné předpoklady k řešení projektu – vyplňují se u klíčových osob řešitelského týmu v části “Odborný životopis”. Každý hlavní uchazeč musí mít v návrhu projektu alespoň jednu osobu v </w:t>
      </w:r>
      <w:r w:rsidRPr="002C5B89">
        <w:rPr>
          <w:rFonts w:ascii="Calibri" w:hAnsi="Calibri" w:cs="Calibri"/>
          <w:color w:val="000000"/>
        </w:rPr>
        <w:t xml:space="preserve">roli řešitel a každý případný další účastník musí mít alespoň jednu osobu v roli další řešitel; </w:t>
      </w:r>
    </w:p>
    <w:p w:rsidR="009754C2" w:rsidRPr="002C5B89" w:rsidRDefault="009754C2" w:rsidP="00A863F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C5B89">
        <w:rPr>
          <w:rFonts w:ascii="Calibri" w:hAnsi="Calibri" w:cs="Calibri"/>
          <w:color w:val="000000"/>
        </w:rPr>
        <w:lastRenderedPageBreak/>
        <w:t xml:space="preserve">oprávnění k činnosti relevantní k plánovaným činnostem v návrhu projektu – do návrhu projektu se vkládá kopie (např. oprávnění k provádění biologického zkoušení, povolení výzkumu na lidských embryonálních kmenových buňkách); </w:t>
      </w:r>
    </w:p>
    <w:p w:rsidR="00612B2F" w:rsidRDefault="009754C2" w:rsidP="00A863F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7745">
        <w:rPr>
          <w:rFonts w:ascii="Calibri" w:hAnsi="Calibri" w:cs="Calibri"/>
          <w:color w:val="000000"/>
        </w:rPr>
        <w:t xml:space="preserve">vlastnická struktura za každého uchazeče – každý uchazeč musí uvést všechny koncové fyzické osoby, které mají podíl minimálně 10 % (pokud z právní formy uchazeče vyplývá, že nemá vlastnickou strukturu, tato povinnost se na něj nevztahuje). </w:t>
      </w:r>
    </w:p>
    <w:p w:rsidR="0017399A" w:rsidRPr="0017399A" w:rsidRDefault="0017399A" w:rsidP="00A863F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12B2F" w:rsidRDefault="00612B2F" w:rsidP="00A863FE">
      <w:pPr>
        <w:pStyle w:val="Default"/>
        <w:ind w:left="720"/>
        <w:jc w:val="both"/>
        <w:rPr>
          <w:b/>
          <w:bCs/>
          <w:sz w:val="22"/>
          <w:szCs w:val="22"/>
        </w:rPr>
      </w:pPr>
    </w:p>
    <w:p w:rsidR="00563DF1" w:rsidRPr="00525099" w:rsidRDefault="00563DF1" w:rsidP="00A863FE">
      <w:pPr>
        <w:spacing w:after="0" w:line="240" w:lineRule="auto"/>
        <w:jc w:val="both"/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Hodnocení:</w:t>
      </w:r>
    </w:p>
    <w:p w:rsidR="00563DF1" w:rsidRDefault="002613EA" w:rsidP="00A863FE">
      <w:pPr>
        <w:spacing w:after="0" w:line="240" w:lineRule="auto"/>
        <w:jc w:val="both"/>
      </w:pPr>
      <w:r w:rsidRPr="00C73306">
        <w:t xml:space="preserve">Pro hodnocení návrhů projektů je stanoveno </w:t>
      </w:r>
      <w:r w:rsidR="00287745">
        <w:t>1</w:t>
      </w:r>
      <w:r w:rsidRPr="00C73306">
        <w:t xml:space="preserve"> binární kritéri</w:t>
      </w:r>
      <w:r w:rsidR="00287745">
        <w:t>um</w:t>
      </w:r>
      <w:r w:rsidR="00531DCA" w:rsidRPr="00C73306">
        <w:t>,</w:t>
      </w:r>
      <w:r w:rsidRPr="00C73306">
        <w:t xml:space="preserve"> </w:t>
      </w:r>
      <w:r w:rsidR="00531DCA" w:rsidRPr="00C73306">
        <w:t>8</w:t>
      </w:r>
      <w:r w:rsidRPr="00C73306">
        <w:t xml:space="preserve"> bodovaných kritérií, která</w:t>
      </w:r>
      <w:r w:rsidR="00531DCA" w:rsidRPr="00C73306">
        <w:t xml:space="preserve"> </w:t>
      </w:r>
      <w:r w:rsidRPr="00C73306">
        <w:t xml:space="preserve">jsou hodnocena oponenty. </w:t>
      </w:r>
      <w:r w:rsidR="00144FEB" w:rsidRPr="00C73306">
        <w:t>Bližší informace k hodnocení jsou také uvedeny v</w:t>
      </w:r>
      <w:r w:rsidR="00C73306" w:rsidRPr="00C73306">
        <w:t> </w:t>
      </w:r>
      <w:hyperlink r:id="rId15" w:history="1">
        <w:r w:rsidR="00C73306" w:rsidRPr="00C73306">
          <w:rPr>
            <w:rStyle w:val="Hypertextovodkaz"/>
          </w:rPr>
          <w:t xml:space="preserve">Příloze č. </w:t>
        </w:r>
        <w:r w:rsidR="00287745">
          <w:rPr>
            <w:rStyle w:val="Hypertextovodkaz"/>
          </w:rPr>
          <w:t>4</w:t>
        </w:r>
        <w:r w:rsidR="00C73306" w:rsidRPr="00C73306">
          <w:rPr>
            <w:rStyle w:val="Hypertextovodkaz"/>
          </w:rPr>
          <w:t xml:space="preserve"> – Hodnotící proces</w:t>
        </w:r>
      </w:hyperlink>
      <w:r w:rsidR="00144FEB" w:rsidRPr="00C73306">
        <w:t>.</w:t>
      </w:r>
      <w:r w:rsidR="00144FEB">
        <w:t xml:space="preserve"> </w:t>
      </w:r>
    </w:p>
    <w:sectPr w:rsidR="0056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8CFBDD"/>
    <w:multiLevelType w:val="hybridMultilevel"/>
    <w:tmpl w:val="E0B302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CB2645"/>
    <w:multiLevelType w:val="hybridMultilevel"/>
    <w:tmpl w:val="A03862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F3B66E"/>
    <w:multiLevelType w:val="hybridMultilevel"/>
    <w:tmpl w:val="BC8360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1EC973"/>
    <w:multiLevelType w:val="hybridMultilevel"/>
    <w:tmpl w:val="67B0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A35191"/>
    <w:multiLevelType w:val="multilevel"/>
    <w:tmpl w:val="E30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8E6F7F"/>
    <w:multiLevelType w:val="hybridMultilevel"/>
    <w:tmpl w:val="5F2EF9C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C6BDC"/>
    <w:multiLevelType w:val="hybridMultilevel"/>
    <w:tmpl w:val="56AA154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B5DB4"/>
    <w:multiLevelType w:val="hybridMultilevel"/>
    <w:tmpl w:val="8D8CC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9CE5"/>
    <w:multiLevelType w:val="hybridMultilevel"/>
    <w:tmpl w:val="B6B056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D7D02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790E"/>
    <w:multiLevelType w:val="hybridMultilevel"/>
    <w:tmpl w:val="E7FEAFAA"/>
    <w:lvl w:ilvl="0" w:tplc="1E669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C08B1"/>
    <w:multiLevelType w:val="hybridMultilevel"/>
    <w:tmpl w:val="5A68B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F0F49"/>
    <w:multiLevelType w:val="hybridMultilevel"/>
    <w:tmpl w:val="C48A8C12"/>
    <w:lvl w:ilvl="0" w:tplc="1E669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376DC"/>
    <w:multiLevelType w:val="hybridMultilevel"/>
    <w:tmpl w:val="F0AA656A"/>
    <w:lvl w:ilvl="0" w:tplc="EFD2C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86BF9"/>
    <w:multiLevelType w:val="hybridMultilevel"/>
    <w:tmpl w:val="5D8AF98C"/>
    <w:lvl w:ilvl="0" w:tplc="770A3E1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490D7C"/>
    <w:multiLevelType w:val="hybridMultilevel"/>
    <w:tmpl w:val="F6F6038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54B1D"/>
    <w:multiLevelType w:val="hybridMultilevel"/>
    <w:tmpl w:val="AF5E51D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47CE5"/>
    <w:multiLevelType w:val="hybridMultilevel"/>
    <w:tmpl w:val="8F482902"/>
    <w:lvl w:ilvl="0" w:tplc="4BE2B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B07FB"/>
    <w:multiLevelType w:val="hybridMultilevel"/>
    <w:tmpl w:val="0F547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4046C"/>
    <w:multiLevelType w:val="hybridMultilevel"/>
    <w:tmpl w:val="08B8E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4594D"/>
    <w:multiLevelType w:val="hybridMultilevel"/>
    <w:tmpl w:val="F9B64582"/>
    <w:lvl w:ilvl="0" w:tplc="2F82F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9"/>
  </w:num>
  <w:num w:numId="5">
    <w:abstractNumId w:val="14"/>
  </w:num>
  <w:num w:numId="6">
    <w:abstractNumId w:val="11"/>
  </w:num>
  <w:num w:numId="7">
    <w:abstractNumId w:val="22"/>
  </w:num>
  <w:num w:numId="8">
    <w:abstractNumId w:val="3"/>
  </w:num>
  <w:num w:numId="9">
    <w:abstractNumId w:val="8"/>
  </w:num>
  <w:num w:numId="10">
    <w:abstractNumId w:val="13"/>
  </w:num>
  <w:num w:numId="11">
    <w:abstractNumId w:val="5"/>
  </w:num>
  <w:num w:numId="12">
    <w:abstractNumId w:val="19"/>
  </w:num>
  <w:num w:numId="13">
    <w:abstractNumId w:val="18"/>
  </w:num>
  <w:num w:numId="14">
    <w:abstractNumId w:val="6"/>
  </w:num>
  <w:num w:numId="15">
    <w:abstractNumId w:val="24"/>
  </w:num>
  <w:num w:numId="16">
    <w:abstractNumId w:val="1"/>
  </w:num>
  <w:num w:numId="17">
    <w:abstractNumId w:val="21"/>
  </w:num>
  <w:num w:numId="18">
    <w:abstractNumId w:val="16"/>
  </w:num>
  <w:num w:numId="19">
    <w:abstractNumId w:val="0"/>
  </w:num>
  <w:num w:numId="20">
    <w:abstractNumId w:val="2"/>
  </w:num>
  <w:num w:numId="21">
    <w:abstractNumId w:val="7"/>
  </w:num>
  <w:num w:numId="22">
    <w:abstractNumId w:val="23"/>
  </w:num>
  <w:num w:numId="23">
    <w:abstractNumId w:val="15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0F"/>
    <w:rsid w:val="000036D5"/>
    <w:rsid w:val="000059FC"/>
    <w:rsid w:val="00005F8C"/>
    <w:rsid w:val="0003137D"/>
    <w:rsid w:val="00097675"/>
    <w:rsid w:val="000A3AC2"/>
    <w:rsid w:val="000C6166"/>
    <w:rsid w:val="000D25EF"/>
    <w:rsid w:val="00103A81"/>
    <w:rsid w:val="00126231"/>
    <w:rsid w:val="00144FEB"/>
    <w:rsid w:val="0017399A"/>
    <w:rsid w:val="001923C1"/>
    <w:rsid w:val="001B39D0"/>
    <w:rsid w:val="001B6ECD"/>
    <w:rsid w:val="001C02BC"/>
    <w:rsid w:val="001F1840"/>
    <w:rsid w:val="00224459"/>
    <w:rsid w:val="0023715B"/>
    <w:rsid w:val="002613EA"/>
    <w:rsid w:val="00275400"/>
    <w:rsid w:val="00287745"/>
    <w:rsid w:val="00294A46"/>
    <w:rsid w:val="002B225D"/>
    <w:rsid w:val="002C5B89"/>
    <w:rsid w:val="002E1ECA"/>
    <w:rsid w:val="002F21BE"/>
    <w:rsid w:val="00307BC1"/>
    <w:rsid w:val="003206E0"/>
    <w:rsid w:val="00340F1D"/>
    <w:rsid w:val="0035516F"/>
    <w:rsid w:val="003D709A"/>
    <w:rsid w:val="004129C7"/>
    <w:rsid w:val="00415969"/>
    <w:rsid w:val="0044320D"/>
    <w:rsid w:val="004540B9"/>
    <w:rsid w:val="004C6AED"/>
    <w:rsid w:val="00525099"/>
    <w:rsid w:val="00531DCA"/>
    <w:rsid w:val="00557E9F"/>
    <w:rsid w:val="00563DF1"/>
    <w:rsid w:val="0057770F"/>
    <w:rsid w:val="005A37C6"/>
    <w:rsid w:val="005A485D"/>
    <w:rsid w:val="006037FE"/>
    <w:rsid w:val="00606286"/>
    <w:rsid w:val="00612B2F"/>
    <w:rsid w:val="00614A99"/>
    <w:rsid w:val="00647EBB"/>
    <w:rsid w:val="006B2816"/>
    <w:rsid w:val="006B5E9F"/>
    <w:rsid w:val="006E0536"/>
    <w:rsid w:val="0074217B"/>
    <w:rsid w:val="00767B2D"/>
    <w:rsid w:val="00774823"/>
    <w:rsid w:val="007C2781"/>
    <w:rsid w:val="007D2E24"/>
    <w:rsid w:val="0080292A"/>
    <w:rsid w:val="0083332B"/>
    <w:rsid w:val="00846003"/>
    <w:rsid w:val="00850853"/>
    <w:rsid w:val="00894BEB"/>
    <w:rsid w:val="008B6889"/>
    <w:rsid w:val="009754C2"/>
    <w:rsid w:val="009D66C6"/>
    <w:rsid w:val="00A863FE"/>
    <w:rsid w:val="00AA343B"/>
    <w:rsid w:val="00AB60CA"/>
    <w:rsid w:val="00AF2878"/>
    <w:rsid w:val="00B61AEF"/>
    <w:rsid w:val="00BB35D3"/>
    <w:rsid w:val="00BF0F25"/>
    <w:rsid w:val="00C10D9F"/>
    <w:rsid w:val="00C73306"/>
    <w:rsid w:val="00CA4F6F"/>
    <w:rsid w:val="00CC39C8"/>
    <w:rsid w:val="00D14577"/>
    <w:rsid w:val="00D66035"/>
    <w:rsid w:val="00D70187"/>
    <w:rsid w:val="00D704E8"/>
    <w:rsid w:val="00D73444"/>
    <w:rsid w:val="00E143FA"/>
    <w:rsid w:val="00E656CA"/>
    <w:rsid w:val="00E7062C"/>
    <w:rsid w:val="00E96464"/>
    <w:rsid w:val="00EB3EF0"/>
    <w:rsid w:val="00F148C0"/>
    <w:rsid w:val="00F30322"/>
    <w:rsid w:val="00F7228A"/>
    <w:rsid w:val="00FC3C0C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40F1D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kova@vutbr.cz" TargetMode="External"/><Relationship Id="rId13" Type="http://schemas.openxmlformats.org/officeDocument/2006/relationships/hyperlink" Target="https://www.tacr.cz/wp-content/uploads/documents/2022/10/25/1666689546_P%C5%99%C3%ADloha%20%C4%8D.%203%20%E2%80%93%20Otev%C5%99en%C3%BD%20p%C5%99%C3%ADstup%20k%20v%C3%BDstup%C5%AFm%20v%C3%BDsledk%C5%AFm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kovam@vutbr.cz" TargetMode="External"/><Relationship Id="rId12" Type="http://schemas.openxmlformats.org/officeDocument/2006/relationships/hyperlink" Target="https://ista.tacr.cz/ISTA/action/Dashboard/ExternalNew/?actionId=6798826730857997&amp;ts=1651134055512&amp;hash=/PRnciOWYPGy0ZuRTsNaKYXfoMOiF9jN8xXBwm4AbZU=&amp;nbl=true&amp;uselastresult=true&amp;_browserSessionID=&amp;la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ilcerova@vutbr.cz" TargetMode="External"/><Relationship Id="rId11" Type="http://schemas.openxmlformats.org/officeDocument/2006/relationships/hyperlink" Target="https://www.tacr.cz/dokumenty/genderova-dimenze-v-obsahu-vyzkumu" TargetMode="External"/><Relationship Id="rId5" Type="http://schemas.openxmlformats.org/officeDocument/2006/relationships/hyperlink" Target="http://ista.tacr.cz/" TargetMode="External"/><Relationship Id="rId15" Type="http://schemas.openxmlformats.org/officeDocument/2006/relationships/hyperlink" Target="https://www.tacr.cz/wp-content/uploads/documents/2022/10/26/1666771897_P%C5%99%C3%ADloha%20%C4%8D.%204%20-%20Hodnotic%C3%AD%20proces.pdf" TargetMode="External"/><Relationship Id="rId10" Type="http://schemas.openxmlformats.org/officeDocument/2006/relationships/hyperlink" Target="https://www.tacr.cz/wp-content/uploads/documents/2022/10/25/1666686820_P%C5%99%C3%ADloha%20%C4%8D.%201%20-%20Zam%C4%9B%C5%99en%C3%AD%20ve%C5%99ejn%C3%A9%20sout%C4%9B%C5%BEe%20programu%20SIGMA%20(DC3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cr.cz/soutez/program-sigma/verejna-soutez-dilci-cil-3-podpora-inovacniho-potencialu-spolecenskych-ved-humanitnich-ved-a-umeni-shuv/" TargetMode="External"/><Relationship Id="rId14" Type="http://schemas.openxmlformats.org/officeDocument/2006/relationships/hyperlink" Target="https://www.tacr.cz/wp-content/uploads/documents/2022/10/25/1666701831_Pr%CC%8Ci%CC%81loha%20c%CC%8C.%202%20-%20Aplikac%CC%8Cni%CC%81%20garant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1966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Vavrečková Eva (233793)</cp:lastModifiedBy>
  <cp:revision>2</cp:revision>
  <dcterms:created xsi:type="dcterms:W3CDTF">2022-11-08T08:38:00Z</dcterms:created>
  <dcterms:modified xsi:type="dcterms:W3CDTF">2022-11-08T08:38:00Z</dcterms:modified>
</cp:coreProperties>
</file>