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CA" w:rsidRPr="0074217B" w:rsidRDefault="00E96464" w:rsidP="0074217B">
      <w:pPr>
        <w:ind w:left="142"/>
        <w:jc w:val="both"/>
        <w:rPr>
          <w:b/>
          <w:color w:val="2F5496" w:themeColor="accent5" w:themeShade="BF"/>
          <w:sz w:val="36"/>
          <w:szCs w:val="36"/>
        </w:rPr>
      </w:pPr>
      <w:bookmarkStart w:id="0" w:name="_GoBack"/>
      <w:bookmarkEnd w:id="0"/>
      <w:r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>8</w:t>
      </w:r>
      <w:r w:rsidR="00531DCA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 xml:space="preserve">. </w:t>
      </w:r>
      <w:r w:rsidR="0057770F" w:rsidRPr="00531DCA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 xml:space="preserve">veřejná soutěž </w:t>
      </w:r>
      <w:r w:rsidR="00AB60CA" w:rsidRPr="00531DCA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>- Program průmyslového výzkumu a experimentálního vývoje TREND</w:t>
      </w:r>
    </w:p>
    <w:p w:rsidR="002E1ECA" w:rsidRPr="0074217B" w:rsidRDefault="002E1ECA" w:rsidP="00AB60CA">
      <w:pPr>
        <w:pStyle w:val="Default"/>
        <w:rPr>
          <w:i/>
          <w:color w:val="FF0000"/>
        </w:rPr>
      </w:pPr>
      <w:r w:rsidRPr="0074217B">
        <w:rPr>
          <w:i/>
          <w:color w:val="FF0000"/>
        </w:rPr>
        <w:t xml:space="preserve">Pozor soutěž je vyhlášena z prostředků </w:t>
      </w:r>
      <w:r w:rsidRPr="0074217B">
        <w:rPr>
          <w:b/>
          <w:i/>
          <w:color w:val="FF0000"/>
        </w:rPr>
        <w:t>Národního plánu obnovy</w:t>
      </w:r>
      <w:r w:rsidRPr="0074217B">
        <w:rPr>
          <w:i/>
          <w:color w:val="FF0000"/>
        </w:rPr>
        <w:t>, který má specifické podmínky!</w:t>
      </w:r>
    </w:p>
    <w:p w:rsidR="0057770F" w:rsidRPr="001923C1" w:rsidRDefault="0057770F" w:rsidP="0057770F">
      <w:pPr>
        <w:rPr>
          <w:i/>
          <w:color w:val="2E74B5" w:themeColor="accent1" w:themeShade="BF"/>
        </w:rPr>
      </w:pPr>
    </w:p>
    <w:p w:rsidR="0057770F" w:rsidRPr="001923C1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1923C1">
        <w:rPr>
          <w:b/>
          <w:color w:val="1F4E79" w:themeColor="accent1" w:themeShade="80"/>
          <w:sz w:val="28"/>
          <w:szCs w:val="28"/>
        </w:rPr>
        <w:t>Důležité termíny:</w:t>
      </w:r>
    </w:p>
    <w:p w:rsidR="0057770F" w:rsidRPr="001923C1" w:rsidRDefault="0057770F" w:rsidP="007C2781">
      <w:pPr>
        <w:spacing w:line="240" w:lineRule="auto"/>
        <w:rPr>
          <w:b/>
        </w:rPr>
      </w:pPr>
      <w:r w:rsidRPr="001923C1">
        <w:t>Soutěžní lhůta začíná</w:t>
      </w:r>
      <w:r w:rsidR="00AB60CA" w:rsidRPr="001923C1">
        <w:t xml:space="preserve"> </w:t>
      </w:r>
      <w:r w:rsidR="00E96464">
        <w:rPr>
          <w:b/>
        </w:rPr>
        <w:t>6</w:t>
      </w:r>
      <w:r w:rsidR="00647EBB">
        <w:rPr>
          <w:b/>
        </w:rPr>
        <w:t xml:space="preserve">. </w:t>
      </w:r>
      <w:r w:rsidR="00E96464">
        <w:rPr>
          <w:b/>
        </w:rPr>
        <w:t>10</w:t>
      </w:r>
      <w:r w:rsidR="00647EBB">
        <w:rPr>
          <w:b/>
        </w:rPr>
        <w:t>. 2022</w:t>
      </w:r>
    </w:p>
    <w:p w:rsidR="0057770F" w:rsidRPr="005A485D" w:rsidRDefault="0057770F" w:rsidP="005A485D">
      <w:pPr>
        <w:spacing w:line="240" w:lineRule="auto"/>
        <w:ind w:left="2835" w:hanging="2835"/>
        <w:jc w:val="both"/>
        <w:rPr>
          <w:b/>
        </w:rPr>
      </w:pPr>
      <w:r w:rsidRPr="001923C1">
        <w:t xml:space="preserve">Soutěžní lhůta končí: </w:t>
      </w:r>
      <w:r w:rsidR="00E96464">
        <w:rPr>
          <w:b/>
        </w:rPr>
        <w:t>23</w:t>
      </w:r>
      <w:r w:rsidR="00647EBB">
        <w:rPr>
          <w:b/>
        </w:rPr>
        <w:t xml:space="preserve">. </w:t>
      </w:r>
      <w:r w:rsidR="00E96464">
        <w:rPr>
          <w:b/>
        </w:rPr>
        <w:t>11</w:t>
      </w:r>
      <w:r w:rsidR="00647EBB">
        <w:rPr>
          <w:b/>
        </w:rPr>
        <w:t>. 2022</w:t>
      </w:r>
      <w:r w:rsidRPr="001923C1">
        <w:t xml:space="preserve"> </w:t>
      </w:r>
      <w:r w:rsidRPr="005A485D">
        <w:rPr>
          <w:b/>
        </w:rPr>
        <w:t>do 1</w:t>
      </w:r>
      <w:r w:rsidR="00CC39C8" w:rsidRPr="005A485D">
        <w:rPr>
          <w:b/>
        </w:rPr>
        <w:t>6</w:t>
      </w:r>
      <w:r w:rsidRPr="005A485D">
        <w:rPr>
          <w:b/>
        </w:rPr>
        <w:t>.</w:t>
      </w:r>
      <w:r w:rsidR="00D704E8" w:rsidRPr="005A485D">
        <w:rPr>
          <w:b/>
        </w:rPr>
        <w:t>29</w:t>
      </w:r>
      <w:r w:rsidRPr="005A485D">
        <w:rPr>
          <w:b/>
        </w:rPr>
        <w:t xml:space="preserve"> pro podání projektu; </w:t>
      </w:r>
      <w:r w:rsidR="001923C1" w:rsidRPr="005A485D">
        <w:rPr>
          <w:b/>
        </w:rPr>
        <w:t xml:space="preserve"> do 23.59 pro zaslání Potvrzení podání elektronického návrhu a potvrzení způsobilosti uchazeče datovou schránkou (ID datové schránky TA ČR: afth9xp.).  V náležitostech zprávy v datovém poli „Věc“ musí být uvedeno </w:t>
      </w:r>
      <w:r w:rsidR="006B5E9F" w:rsidRPr="005A485D">
        <w:rPr>
          <w:b/>
        </w:rPr>
        <w:t>„</w:t>
      </w:r>
      <w:r w:rsidR="000036D5" w:rsidRPr="005A485D">
        <w:rPr>
          <w:b/>
        </w:rPr>
        <w:t>Program TREND – Potvrzení podání“</w:t>
      </w:r>
      <w:r w:rsidR="006B5E9F" w:rsidRPr="005A485D">
        <w:rPr>
          <w:b/>
        </w:rPr>
        <w:t>.</w:t>
      </w:r>
      <w:r w:rsidR="001923C1" w:rsidRPr="005A485D">
        <w:rPr>
          <w:b/>
        </w:rPr>
        <w:t xml:space="preserve"> Potvrzení o podání projektu musí jít z datové schránky hlavního uchazeče. Čestné prohlášení o prokázání způsobilosti uchazeče posílá každý uchazeč ze své datové schránky. V případě zahraničního uchazeče</w:t>
      </w:r>
      <w:r w:rsidR="000036D5" w:rsidRPr="005A485D">
        <w:rPr>
          <w:b/>
        </w:rPr>
        <w:t>, či uchazeče bez datové schránky</w:t>
      </w:r>
      <w:r w:rsidR="001923C1" w:rsidRPr="005A485D">
        <w:rPr>
          <w:b/>
        </w:rPr>
        <w:t xml:space="preserve"> doloží ČP v listinné podobě.</w:t>
      </w:r>
    </w:p>
    <w:p w:rsidR="00894BEB" w:rsidRPr="00774823" w:rsidRDefault="00894BEB" w:rsidP="007C2781">
      <w:pPr>
        <w:spacing w:line="240" w:lineRule="auto"/>
        <w:rPr>
          <w:b/>
        </w:rPr>
      </w:pPr>
      <w:r w:rsidRPr="00774823">
        <w:t>Vyhlášení výsledků soutěže:</w:t>
      </w:r>
      <w:r w:rsidRPr="00774823">
        <w:rPr>
          <w:b/>
        </w:rPr>
        <w:t xml:space="preserve"> </w:t>
      </w:r>
      <w:r w:rsidR="00E96464">
        <w:rPr>
          <w:b/>
        </w:rPr>
        <w:t xml:space="preserve">květen </w:t>
      </w:r>
      <w:r w:rsidR="00647EBB">
        <w:rPr>
          <w:b/>
        </w:rPr>
        <w:t>202</w:t>
      </w:r>
      <w:r w:rsidR="00E96464">
        <w:rPr>
          <w:b/>
        </w:rPr>
        <w:t>3</w:t>
      </w:r>
    </w:p>
    <w:p w:rsidR="00894BEB" w:rsidRPr="00774823" w:rsidRDefault="00894BEB" w:rsidP="007C2781">
      <w:pPr>
        <w:spacing w:line="240" w:lineRule="auto"/>
        <w:rPr>
          <w:b/>
        </w:rPr>
      </w:pPr>
      <w:r w:rsidRPr="00774823">
        <w:t>Zahájení řešení projektu:</w:t>
      </w:r>
      <w:r w:rsidRPr="00774823">
        <w:rPr>
          <w:b/>
        </w:rPr>
        <w:t xml:space="preserve"> 1. </w:t>
      </w:r>
      <w:r w:rsidR="00E96464">
        <w:rPr>
          <w:b/>
        </w:rPr>
        <w:t>6</w:t>
      </w:r>
      <w:r w:rsidRPr="00774823">
        <w:rPr>
          <w:b/>
        </w:rPr>
        <w:t xml:space="preserve">. – </w:t>
      </w:r>
      <w:r w:rsidR="00614A99">
        <w:rPr>
          <w:b/>
        </w:rPr>
        <w:t>1.</w:t>
      </w:r>
      <w:r w:rsidR="00E96464">
        <w:rPr>
          <w:b/>
        </w:rPr>
        <w:t>8</w:t>
      </w:r>
      <w:r w:rsidR="00614A99">
        <w:rPr>
          <w:b/>
        </w:rPr>
        <w:t>.</w:t>
      </w:r>
      <w:r w:rsidRPr="00774823">
        <w:rPr>
          <w:b/>
        </w:rPr>
        <w:t xml:space="preserve"> 202</w:t>
      </w:r>
      <w:r w:rsidR="00647EBB">
        <w:rPr>
          <w:b/>
        </w:rPr>
        <w:t>3</w:t>
      </w:r>
    </w:p>
    <w:p w:rsidR="00894BEB" w:rsidRPr="00774823" w:rsidRDefault="00894BEB" w:rsidP="007C2781">
      <w:pPr>
        <w:spacing w:line="240" w:lineRule="auto"/>
        <w:rPr>
          <w:b/>
        </w:rPr>
      </w:pPr>
      <w:r w:rsidRPr="00614A99">
        <w:t>Nejzazší termín ukončení řešení projektu</w:t>
      </w:r>
      <w:r w:rsidRPr="005A37C6">
        <w:t>:</w:t>
      </w:r>
      <w:r w:rsidR="0003137D" w:rsidRPr="005A37C6">
        <w:t xml:space="preserve"> </w:t>
      </w:r>
      <w:r w:rsidR="005A37C6" w:rsidRPr="0023715B">
        <w:rPr>
          <w:b/>
        </w:rPr>
        <w:t>prosinec 202</w:t>
      </w:r>
      <w:r w:rsidR="0023715B" w:rsidRPr="0023715B">
        <w:rPr>
          <w:b/>
        </w:rPr>
        <w:t>5</w:t>
      </w:r>
    </w:p>
    <w:p w:rsidR="00894BEB" w:rsidRPr="00774823" w:rsidRDefault="00894BEB" w:rsidP="007C2781">
      <w:pPr>
        <w:spacing w:line="240" w:lineRule="auto"/>
        <w:rPr>
          <w:b/>
        </w:rPr>
      </w:pPr>
      <w:r w:rsidRPr="00774823">
        <w:t>Délka řešení projektu:</w:t>
      </w:r>
      <w:r w:rsidRPr="00774823">
        <w:rPr>
          <w:b/>
        </w:rPr>
        <w:t xml:space="preserve"> 12 – </w:t>
      </w:r>
      <w:r w:rsidR="0023715B">
        <w:rPr>
          <w:b/>
        </w:rPr>
        <w:t>3</w:t>
      </w:r>
      <w:r w:rsidR="00E96464">
        <w:rPr>
          <w:b/>
        </w:rPr>
        <w:t>1</w:t>
      </w:r>
      <w:r w:rsidRPr="00774823">
        <w:rPr>
          <w:b/>
        </w:rPr>
        <w:t xml:space="preserve"> měsíců</w:t>
      </w:r>
    </w:p>
    <w:p w:rsidR="0057770F" w:rsidRPr="001923C1" w:rsidRDefault="0057770F" w:rsidP="0057770F">
      <w:pPr>
        <w:rPr>
          <w:b/>
          <w:highlight w:val="yellow"/>
        </w:rPr>
      </w:pPr>
    </w:p>
    <w:p w:rsidR="00531DCA" w:rsidRDefault="00531DCA" w:rsidP="00531DCA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Kontaktní osoby:</w:t>
      </w:r>
    </w:p>
    <w:p w:rsidR="00531DCA" w:rsidRDefault="00531DCA" w:rsidP="00531DCA">
      <w:pPr>
        <w:rPr>
          <w:b/>
        </w:rPr>
      </w:pPr>
      <w:r>
        <w:rPr>
          <w:b/>
        </w:rPr>
        <w:t xml:space="preserve">Soutěž TAČR na VUT Brno – Ing. </w:t>
      </w:r>
      <w:r w:rsidR="00E96464">
        <w:rPr>
          <w:b/>
        </w:rPr>
        <w:t>Veronika Pilcerová</w:t>
      </w:r>
      <w:r>
        <w:rPr>
          <w:b/>
        </w:rPr>
        <w:t xml:space="preserve"> (</w:t>
      </w:r>
      <w:hyperlink r:id="rId8" w:history="1">
        <w:r w:rsidR="00E96464" w:rsidRPr="00CC21A4">
          <w:rPr>
            <w:rStyle w:val="Hypertextovodkaz"/>
            <w:b/>
          </w:rPr>
          <w:t>pilcerova@vutbr.cz</w:t>
        </w:r>
      </w:hyperlink>
      <w:r>
        <w:rPr>
          <w:b/>
        </w:rPr>
        <w:t>, kl. 5237)</w:t>
      </w:r>
    </w:p>
    <w:p w:rsidR="00531DCA" w:rsidRDefault="00531DCA" w:rsidP="00531DCA">
      <w:pPr>
        <w:rPr>
          <w:b/>
        </w:rPr>
      </w:pPr>
      <w:r>
        <w:rPr>
          <w:b/>
        </w:rPr>
        <w:t xml:space="preserve">Duševní vlastnictví, konzultace smlouvy mezi uchazeči, Letter of intent – OTT – </w:t>
      </w:r>
      <w:r w:rsidR="005A37C6">
        <w:rPr>
          <w:b/>
        </w:rPr>
        <w:t>Mgr. Michaela Daňková</w:t>
      </w:r>
      <w:r>
        <w:rPr>
          <w:b/>
        </w:rPr>
        <w:t xml:space="preserve"> (</w:t>
      </w:r>
      <w:hyperlink r:id="rId9" w:history="1">
        <w:r w:rsidR="005A37C6" w:rsidRPr="00626B61">
          <w:rPr>
            <w:rStyle w:val="Hypertextovodkaz"/>
            <w:b/>
          </w:rPr>
          <w:t>dankovam@vutbr.cz</w:t>
        </w:r>
      </w:hyperlink>
      <w:r>
        <w:rPr>
          <w:b/>
        </w:rPr>
        <w:t>, kl. 422</w:t>
      </w:r>
      <w:r w:rsidR="005A37C6">
        <w:rPr>
          <w:b/>
        </w:rPr>
        <w:t>8</w:t>
      </w:r>
      <w:r>
        <w:rPr>
          <w:b/>
        </w:rPr>
        <w:t>)</w:t>
      </w:r>
    </w:p>
    <w:p w:rsidR="00531DCA" w:rsidRDefault="00531DCA" w:rsidP="00531DCA">
      <w:pPr>
        <w:rPr>
          <w:b/>
        </w:rPr>
      </w:pPr>
      <w:r>
        <w:rPr>
          <w:b/>
        </w:rPr>
        <w:t>Otázka DPH v projektech TAČR – Ing. Romana Sasková (</w:t>
      </w:r>
      <w:hyperlink r:id="rId10" w:history="1">
        <w:r w:rsidRPr="00882517">
          <w:rPr>
            <w:rStyle w:val="Hypertextovodkaz"/>
            <w:b/>
          </w:rPr>
          <w:t>saskova@vutbr.cz</w:t>
        </w:r>
      </w:hyperlink>
      <w:r>
        <w:rPr>
          <w:b/>
        </w:rPr>
        <w:t>, kl. 5356)</w:t>
      </w:r>
    </w:p>
    <w:p w:rsidR="00531DCA" w:rsidRPr="00E656CA" w:rsidRDefault="00531DCA" w:rsidP="00531DCA">
      <w:pPr>
        <w:rPr>
          <w:b/>
        </w:rPr>
      </w:pPr>
      <w:r w:rsidRPr="00E656CA">
        <w:rPr>
          <w:b/>
        </w:rPr>
        <w:t>Zadání do APOLLA pod programem financování: FW0</w:t>
      </w:r>
      <w:r w:rsidR="00E143FA" w:rsidRPr="00E656CA">
        <w:rPr>
          <w:b/>
        </w:rPr>
        <w:t>8</w:t>
      </w:r>
      <w:r w:rsidR="006B2816" w:rsidRPr="00E656CA">
        <w:rPr>
          <w:b/>
        </w:rPr>
        <w:t>0</w:t>
      </w:r>
    </w:p>
    <w:p w:rsidR="00531DCA" w:rsidRDefault="00531DCA" w:rsidP="0057770F">
      <w:pPr>
        <w:rPr>
          <w:b/>
          <w:color w:val="1F4E79" w:themeColor="accent1" w:themeShade="80"/>
          <w:sz w:val="28"/>
          <w:szCs w:val="28"/>
        </w:rPr>
      </w:pPr>
    </w:p>
    <w:p w:rsidR="00C10D9F" w:rsidRPr="00774823" w:rsidRDefault="00C10D9F" w:rsidP="0057770F">
      <w:pPr>
        <w:rPr>
          <w:b/>
          <w:color w:val="1F4E79" w:themeColor="accent1" w:themeShade="80"/>
          <w:sz w:val="28"/>
          <w:szCs w:val="28"/>
        </w:rPr>
      </w:pPr>
      <w:r w:rsidRPr="00774823">
        <w:rPr>
          <w:b/>
          <w:color w:val="1F4E79" w:themeColor="accent1" w:themeShade="80"/>
          <w:sz w:val="28"/>
          <w:szCs w:val="28"/>
        </w:rPr>
        <w:t>Odkaz na soutěž:</w:t>
      </w:r>
    </w:p>
    <w:p w:rsidR="002E1ECA" w:rsidRDefault="004B109F" w:rsidP="0057770F">
      <w:hyperlink r:id="rId11" w:history="1">
        <w:r w:rsidR="00E96464" w:rsidRPr="00CC21A4">
          <w:rPr>
            <w:rStyle w:val="Hypertextovodkaz"/>
          </w:rPr>
          <w:t>https://www.tacr.cz/soutez/program-trend/osma-verejna-soutez/</w:t>
        </w:r>
      </w:hyperlink>
      <w:r w:rsidR="00E96464">
        <w:t xml:space="preserve"> </w:t>
      </w:r>
    </w:p>
    <w:p w:rsidR="00E96464" w:rsidRDefault="00E96464" w:rsidP="0057770F">
      <w:pPr>
        <w:rPr>
          <w:b/>
          <w:color w:val="1F4E79" w:themeColor="accent1" w:themeShade="80"/>
          <w:sz w:val="28"/>
          <w:szCs w:val="28"/>
        </w:rPr>
      </w:pPr>
    </w:p>
    <w:p w:rsidR="00774823" w:rsidRDefault="00774823" w:rsidP="0057770F">
      <w:pPr>
        <w:rPr>
          <w:b/>
          <w:color w:val="1F4E79" w:themeColor="accent1" w:themeShade="80"/>
          <w:sz w:val="28"/>
          <w:szCs w:val="28"/>
        </w:rPr>
      </w:pPr>
      <w:r w:rsidRPr="00774823">
        <w:rPr>
          <w:b/>
          <w:color w:val="1F4E79" w:themeColor="accent1" w:themeShade="80"/>
          <w:sz w:val="28"/>
          <w:szCs w:val="28"/>
        </w:rPr>
        <w:t>Zaměření programu:</w:t>
      </w:r>
    </w:p>
    <w:p w:rsidR="00E96464" w:rsidRDefault="00E96464" w:rsidP="002B225D">
      <w:pPr>
        <w:jc w:val="both"/>
      </w:pPr>
      <w:r>
        <w:t xml:space="preserve">Hlavním cílem programu je zvýšení mezinárodní konkurenceschopnosti podniků, především rozšířením jejich trhů v zahraničí, pronikáním na trhy nové či posunem výše v globálních hodnotových řetězcích. </w:t>
      </w:r>
    </w:p>
    <w:p w:rsidR="00E96464" w:rsidRDefault="00E96464" w:rsidP="002B225D">
      <w:pPr>
        <w:jc w:val="both"/>
      </w:pPr>
      <w:r>
        <w:lastRenderedPageBreak/>
        <w:t>Veřejná soutěž je zaměřena na podporu projektů zabývající se vývojem a aplikací standardů 5. generace a vyšších (dále “5G”) a je financována z Národního plánu obnovy v rámci komponenty 1.3 s názvem Digitální vysokokapacitní sítě a její investice “Vědeckovýzkumné činnosti související s rozvojem sítí a služeb 5G”. Standardy 5G se rozumí standardy dle specifikací sítí 5. a vyšší generace podle sdružení 3GPP.</w:t>
      </w:r>
    </w:p>
    <w:p w:rsidR="0023715B" w:rsidRDefault="002B225D" w:rsidP="002B225D">
      <w:pPr>
        <w:jc w:val="both"/>
      </w:pPr>
      <w:r>
        <w:t>Veřejná soutěž je orientována na podporu podniků, které již mají zkušenosti s realizací výzkumu a vývoje vlastními kapacitami (skrze stabilizaci a další rozvoj jejich výzkumných oddělení), a podniků, které mají zkušenost s nákupem VaV služeb od výzkumných organizací, ale zatím nerozvinuly vlastní VaV činnost.</w:t>
      </w:r>
    </w:p>
    <w:p w:rsidR="002B225D" w:rsidRDefault="002B225D" w:rsidP="002B225D">
      <w:pPr>
        <w:jc w:val="both"/>
        <w:rPr>
          <w:b/>
          <w:color w:val="1F4E79" w:themeColor="accent1" w:themeShade="80"/>
          <w:sz w:val="28"/>
          <w:szCs w:val="28"/>
        </w:rPr>
      </w:pPr>
    </w:p>
    <w:p w:rsidR="0057770F" w:rsidRPr="00525099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Uchazeči:</w:t>
      </w:r>
    </w:p>
    <w:p w:rsidR="00AB60CA" w:rsidRPr="00774823" w:rsidRDefault="00AB60CA" w:rsidP="002B225D">
      <w:pPr>
        <w:pStyle w:val="Odstavecseseznamem"/>
        <w:numPr>
          <w:ilvl w:val="0"/>
          <w:numId w:val="7"/>
        </w:numPr>
        <w:jc w:val="both"/>
      </w:pPr>
      <w:r w:rsidRPr="00774823">
        <w:t xml:space="preserve">podniky  </w:t>
      </w:r>
    </w:p>
    <w:p w:rsidR="00AB60CA" w:rsidRPr="00774823" w:rsidRDefault="00AB60CA" w:rsidP="002B225D">
      <w:pPr>
        <w:pStyle w:val="Odstavecseseznamem"/>
        <w:numPr>
          <w:ilvl w:val="0"/>
          <w:numId w:val="7"/>
        </w:numPr>
        <w:jc w:val="both"/>
      </w:pPr>
      <w:r w:rsidRPr="00774823">
        <w:t>výzkumné organizace</w:t>
      </w:r>
    </w:p>
    <w:p w:rsidR="002B225D" w:rsidRDefault="002B225D" w:rsidP="002B225D">
      <w:pPr>
        <w:jc w:val="both"/>
      </w:pPr>
      <w:r>
        <w:t>Hlavním uchazečem může být pouze podnik, který řeší projekt samostatně, a/nebo řeší projekt ve spolupráci s dalšími podniky a/nebo ve spolupráci s výzkumnými organizacemi (formou kolaborativního výzkumu v souladu s Rámcem).</w:t>
      </w:r>
    </w:p>
    <w:p w:rsidR="0023715B" w:rsidRDefault="0023715B" w:rsidP="002B225D">
      <w:pPr>
        <w:jc w:val="both"/>
      </w:pPr>
      <w:r>
        <w:t xml:space="preserve">Hlavní uchazeč může podat maximálně </w:t>
      </w:r>
      <w:r w:rsidR="002B225D">
        <w:t>čtyři návrhy</w:t>
      </w:r>
      <w:r>
        <w:t xml:space="preserve"> projekt</w:t>
      </w:r>
      <w:r w:rsidR="002B225D">
        <w:t>ů</w:t>
      </w:r>
      <w:r>
        <w:t xml:space="preserve"> do této veřejné soutěže. </w:t>
      </w:r>
    </w:p>
    <w:p w:rsidR="002B225D" w:rsidRPr="002B225D" w:rsidRDefault="002B225D" w:rsidP="002B225D">
      <w:pPr>
        <w:jc w:val="both"/>
      </w:pPr>
      <w:r>
        <w:t>Hlavním uchazečem může být podnik, který má minimálně dvouletou účetní historii při podání návrhu projektu (dvouletou ekonomickou/účetní historií se rozumí minimálně dvě zpracované roční účetní závěrky) a má sídlo, provozovnu nebo pobočku v České republice.</w:t>
      </w:r>
    </w:p>
    <w:p w:rsidR="00606286" w:rsidRDefault="002B225D" w:rsidP="002B225D">
      <w:pPr>
        <w:jc w:val="both"/>
      </w:pPr>
      <w:r>
        <w:t>Uchazeči (bez ohledu na svou právní formu) si mohou v ISTA zvolit typ uchazeče podnik (např. neziskové organizace, spolky, příspěvkové organizace)</w:t>
      </w:r>
    </w:p>
    <w:p w:rsidR="002B225D" w:rsidRPr="00606286" w:rsidRDefault="002B225D" w:rsidP="002B225D">
      <w:pPr>
        <w:jc w:val="both"/>
        <w:rPr>
          <w:color w:val="FF0000"/>
        </w:rPr>
      </w:pPr>
      <w:r>
        <w:t>Další účastník může být subjekt se sídlem v členském státě Evropské unie (včetně České republiky), v jiném státě tvořícím Evropský hospodářský prostor nebo ve Švýcarské konfederaci. Na dalšího účastníka se nevztahují podmínky pro hlavního uchazeče.</w:t>
      </w:r>
    </w:p>
    <w:p w:rsidR="002B225D" w:rsidRDefault="002B225D" w:rsidP="0057770F">
      <w:pPr>
        <w:rPr>
          <w:b/>
          <w:color w:val="1F4E79" w:themeColor="accent1" w:themeShade="80"/>
          <w:sz w:val="28"/>
          <w:szCs w:val="28"/>
        </w:rPr>
      </w:pPr>
    </w:p>
    <w:p w:rsidR="00774823" w:rsidRDefault="00774823" w:rsidP="0057770F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Výstupy/výsledky:</w:t>
      </w:r>
    </w:p>
    <w:p w:rsidR="00774823" w:rsidRPr="000036D5" w:rsidRDefault="00774823" w:rsidP="0057770F">
      <w:pPr>
        <w:rPr>
          <w:i/>
          <w:u w:val="single"/>
        </w:rPr>
      </w:pPr>
      <w:r w:rsidRPr="000036D5">
        <w:rPr>
          <w:i/>
          <w:u w:val="single"/>
        </w:rPr>
        <w:t>Hlavní výstupy: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r w:rsidRPr="000036D5">
        <w:t xml:space="preserve">Fprum průmyslový vzor, 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r w:rsidRPr="000036D5">
        <w:t xml:space="preserve">Fuzit užitný vzor, 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r w:rsidRPr="000036D5">
        <w:t xml:space="preserve">Gprot prototyp, 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r w:rsidRPr="000036D5">
        <w:t xml:space="preserve">Gfunk funkční vzorek, 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r w:rsidRPr="000036D5">
        <w:t xml:space="preserve">R software, 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r w:rsidRPr="000036D5">
        <w:t xml:space="preserve">Zpolop poloprovoz, </w:t>
      </w:r>
    </w:p>
    <w:p w:rsidR="00774823" w:rsidRDefault="00774823" w:rsidP="005A37C6">
      <w:pPr>
        <w:pStyle w:val="Odstavecseseznamem"/>
        <w:numPr>
          <w:ilvl w:val="0"/>
          <w:numId w:val="11"/>
        </w:numPr>
      </w:pPr>
      <w:r w:rsidRPr="000036D5">
        <w:t>Ztech ověřená technologie</w:t>
      </w:r>
    </w:p>
    <w:p w:rsidR="00CA4F6F" w:rsidRPr="000036D5" w:rsidRDefault="00CA4F6F" w:rsidP="00CA4F6F">
      <w:pPr>
        <w:pStyle w:val="Odstavecseseznamem"/>
      </w:pPr>
    </w:p>
    <w:p w:rsidR="00774823" w:rsidRPr="000036D5" w:rsidRDefault="00774823" w:rsidP="0057770F">
      <w:pPr>
        <w:rPr>
          <w:i/>
          <w:u w:val="single"/>
        </w:rPr>
      </w:pPr>
      <w:r w:rsidRPr="000036D5">
        <w:rPr>
          <w:i/>
          <w:u w:val="single"/>
        </w:rPr>
        <w:t>Další výstupy, které je možné dosáhnout v kombinaci s výše uvedenými:</w:t>
      </w:r>
    </w:p>
    <w:p w:rsidR="005A37C6" w:rsidRDefault="000036D5" w:rsidP="005A37C6">
      <w:pPr>
        <w:pStyle w:val="Odstavecseseznamem"/>
        <w:numPr>
          <w:ilvl w:val="0"/>
          <w:numId w:val="12"/>
        </w:numPr>
      </w:pPr>
      <w:r w:rsidRPr="000036D5">
        <w:t xml:space="preserve">NmetA metodiky a postupy akreditované oprávněným orgánem, </w:t>
      </w:r>
    </w:p>
    <w:p w:rsidR="005A37C6" w:rsidRDefault="000036D5" w:rsidP="005A37C6">
      <w:pPr>
        <w:pStyle w:val="Odstavecseseznamem"/>
        <w:numPr>
          <w:ilvl w:val="0"/>
          <w:numId w:val="12"/>
        </w:numPr>
      </w:pPr>
      <w:r w:rsidRPr="000036D5">
        <w:lastRenderedPageBreak/>
        <w:t xml:space="preserve">NmetC metodika certifikovaná oprávněným orgánem, </w:t>
      </w:r>
    </w:p>
    <w:p w:rsidR="005A37C6" w:rsidRDefault="00774823" w:rsidP="005A485D">
      <w:pPr>
        <w:pStyle w:val="Odstavecseseznamem"/>
        <w:numPr>
          <w:ilvl w:val="0"/>
          <w:numId w:val="12"/>
        </w:numPr>
        <w:spacing w:after="0"/>
      </w:pPr>
      <w:r w:rsidRPr="000036D5">
        <w:t>NmetS metodika schválená příslušným orgánem státní správy, do jehož kompetence daná problematika spadá</w:t>
      </w:r>
      <w:r w:rsidR="004540B9" w:rsidRPr="000036D5">
        <w:t xml:space="preserve">, </w:t>
      </w:r>
    </w:p>
    <w:p w:rsidR="005A37C6" w:rsidRDefault="00774823" w:rsidP="005A485D">
      <w:pPr>
        <w:pStyle w:val="Odstavecseseznamem"/>
        <w:numPr>
          <w:ilvl w:val="0"/>
          <w:numId w:val="12"/>
        </w:numPr>
        <w:spacing w:after="0"/>
      </w:pPr>
      <w:r w:rsidRPr="000036D5">
        <w:t>P patent</w:t>
      </w:r>
      <w:r w:rsidR="000036D5" w:rsidRPr="000036D5">
        <w:t xml:space="preserve">, </w:t>
      </w:r>
    </w:p>
    <w:p w:rsidR="00774823" w:rsidRPr="005A37C6" w:rsidRDefault="0044320D" w:rsidP="005A485D">
      <w:pPr>
        <w:pStyle w:val="Odstavecseseznamem"/>
        <w:numPr>
          <w:ilvl w:val="0"/>
          <w:numId w:val="12"/>
        </w:numPr>
        <w:spacing w:after="0"/>
        <w:rPr>
          <w:b/>
          <w:color w:val="1F4E79" w:themeColor="accent1" w:themeShade="80"/>
          <w:sz w:val="28"/>
          <w:szCs w:val="28"/>
        </w:rPr>
      </w:pPr>
      <w:r>
        <w:t>O</w:t>
      </w:r>
      <w:r w:rsidR="000036D5" w:rsidRPr="000036D5">
        <w:t>– ostatní výsledky.</w:t>
      </w:r>
    </w:p>
    <w:p w:rsidR="0057770F" w:rsidRDefault="0057770F" w:rsidP="005A485D">
      <w:pPr>
        <w:spacing w:after="0"/>
        <w:rPr>
          <w:highlight w:val="yellow"/>
        </w:rPr>
      </w:pPr>
    </w:p>
    <w:p w:rsidR="005A485D" w:rsidRPr="001923C1" w:rsidRDefault="005A485D" w:rsidP="005A485D">
      <w:pPr>
        <w:spacing w:after="0"/>
        <w:rPr>
          <w:highlight w:val="yellow"/>
        </w:rPr>
      </w:pPr>
    </w:p>
    <w:p w:rsidR="0057770F" w:rsidRPr="00525099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Základní finanční údaje</w:t>
      </w:r>
    </w:p>
    <w:p w:rsidR="0057770F" w:rsidRPr="000036D5" w:rsidRDefault="0057770F" w:rsidP="007C2781">
      <w:pPr>
        <w:spacing w:line="100" w:lineRule="atLeast"/>
        <w:rPr>
          <w:b/>
        </w:rPr>
      </w:pPr>
      <w:r w:rsidRPr="005A37C6">
        <w:t xml:space="preserve">Alokace soutěže </w:t>
      </w:r>
      <w:r w:rsidR="00AB60CA" w:rsidRPr="005A37C6">
        <w:rPr>
          <w:b/>
        </w:rPr>
        <w:t>–</w:t>
      </w:r>
      <w:r w:rsidRPr="005A37C6">
        <w:rPr>
          <w:b/>
        </w:rPr>
        <w:t xml:space="preserve"> </w:t>
      </w:r>
      <w:r w:rsidR="002E1ECA">
        <w:rPr>
          <w:b/>
        </w:rPr>
        <w:t>300 miliónů</w:t>
      </w:r>
      <w:r w:rsidR="00AB60CA" w:rsidRPr="005A37C6">
        <w:rPr>
          <w:b/>
        </w:rPr>
        <w:t xml:space="preserve"> Kč</w:t>
      </w:r>
    </w:p>
    <w:p w:rsidR="0057770F" w:rsidRPr="000036D5" w:rsidRDefault="0057770F" w:rsidP="007C2781">
      <w:pPr>
        <w:spacing w:line="100" w:lineRule="atLeast"/>
        <w:rPr>
          <w:b/>
        </w:rPr>
      </w:pPr>
      <w:r w:rsidRPr="000036D5">
        <w:t>Maximální částka podpory na jeden projekt -</w:t>
      </w:r>
      <w:r w:rsidR="002E1ECA" w:rsidRPr="002B225D">
        <w:rPr>
          <w:b/>
        </w:rPr>
        <w:t>1</w:t>
      </w:r>
      <w:r w:rsidR="005A37C6">
        <w:rPr>
          <w:b/>
        </w:rPr>
        <w:t>5</w:t>
      </w:r>
      <w:r w:rsidRPr="000036D5">
        <w:rPr>
          <w:b/>
        </w:rPr>
        <w:t xml:space="preserve"> mil. Kč</w:t>
      </w:r>
    </w:p>
    <w:p w:rsidR="0057770F" w:rsidRPr="001923C1" w:rsidRDefault="0057770F" w:rsidP="007C2781">
      <w:pPr>
        <w:spacing w:line="100" w:lineRule="atLeast"/>
        <w:rPr>
          <w:b/>
        </w:rPr>
      </w:pPr>
      <w:r w:rsidRPr="000036D5">
        <w:t>Maximální intenzita podpory na projekt</w:t>
      </w:r>
      <w:r w:rsidR="00D66035" w:rsidRPr="000036D5">
        <w:t xml:space="preserve"> - </w:t>
      </w:r>
      <w:r w:rsidR="005A37C6">
        <w:rPr>
          <w:b/>
        </w:rPr>
        <w:t>70</w:t>
      </w:r>
      <w:r w:rsidRPr="000036D5">
        <w:rPr>
          <w:b/>
        </w:rPr>
        <w:t xml:space="preserve"> %</w:t>
      </w:r>
    </w:p>
    <w:p w:rsidR="00D66035" w:rsidRPr="000036D5" w:rsidRDefault="00D66035" w:rsidP="007C2781">
      <w:pPr>
        <w:spacing w:line="100" w:lineRule="atLeast"/>
        <w:rPr>
          <w:b/>
        </w:rPr>
      </w:pPr>
      <w:r w:rsidRPr="002B225D">
        <w:rPr>
          <w:b/>
        </w:rPr>
        <w:t xml:space="preserve">Maximální intenzita podpory pro výzkumnou organizaci -  </w:t>
      </w:r>
      <w:r w:rsidR="00D70187" w:rsidRPr="002B225D">
        <w:rPr>
          <w:b/>
        </w:rPr>
        <w:t>90</w:t>
      </w:r>
      <w:r w:rsidRPr="002B225D">
        <w:rPr>
          <w:b/>
        </w:rPr>
        <w:t>%</w:t>
      </w:r>
    </w:p>
    <w:p w:rsidR="001C02BC" w:rsidRPr="0003137D" w:rsidRDefault="001C02BC" w:rsidP="001C02BC">
      <w:pPr>
        <w:rPr>
          <w:b/>
          <w:highlight w:val="yellow"/>
        </w:rPr>
      </w:pPr>
    </w:p>
    <w:p w:rsidR="00FE3CFC" w:rsidRPr="00525099" w:rsidRDefault="00FE3CFC" w:rsidP="00525099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 xml:space="preserve">Způsobilé náklady:  </w:t>
      </w:r>
    </w:p>
    <w:p w:rsidR="005A37C6" w:rsidRDefault="00FE3CFC" w:rsidP="00FE3CFC">
      <w:pPr>
        <w:pStyle w:val="Default"/>
        <w:numPr>
          <w:ilvl w:val="0"/>
          <w:numId w:val="5"/>
        </w:numPr>
        <w:spacing w:after="178"/>
        <w:rPr>
          <w:sz w:val="22"/>
          <w:szCs w:val="22"/>
        </w:rPr>
      </w:pPr>
      <w:r w:rsidRPr="004540B9">
        <w:rPr>
          <w:sz w:val="22"/>
          <w:szCs w:val="22"/>
        </w:rPr>
        <w:t>osobní náklady</w:t>
      </w:r>
      <w:r w:rsidR="004540B9" w:rsidRPr="004540B9">
        <w:rPr>
          <w:sz w:val="22"/>
          <w:szCs w:val="22"/>
        </w:rPr>
        <w:t xml:space="preserve"> </w:t>
      </w:r>
    </w:p>
    <w:p w:rsidR="00FE3CFC" w:rsidRPr="004540B9" w:rsidRDefault="004540B9" w:rsidP="00FE3CFC">
      <w:pPr>
        <w:pStyle w:val="Default"/>
        <w:numPr>
          <w:ilvl w:val="0"/>
          <w:numId w:val="5"/>
        </w:numPr>
        <w:spacing w:after="178"/>
        <w:rPr>
          <w:sz w:val="22"/>
          <w:szCs w:val="22"/>
        </w:rPr>
      </w:pPr>
      <w:r w:rsidRPr="004540B9">
        <w:rPr>
          <w:sz w:val="22"/>
          <w:szCs w:val="22"/>
        </w:rPr>
        <w:t>stipendi</w:t>
      </w:r>
      <w:r w:rsidR="005A37C6">
        <w:rPr>
          <w:sz w:val="22"/>
          <w:szCs w:val="22"/>
        </w:rPr>
        <w:t>a</w:t>
      </w:r>
      <w:r w:rsidRPr="004540B9">
        <w:rPr>
          <w:sz w:val="22"/>
          <w:szCs w:val="22"/>
        </w:rPr>
        <w:t xml:space="preserve"> (</w:t>
      </w:r>
      <w:r w:rsidRPr="004540B9">
        <w:rPr>
          <w:b/>
          <w:sz w:val="22"/>
          <w:szCs w:val="22"/>
        </w:rPr>
        <w:t>na VUT není tento náklad doporučován!)</w:t>
      </w:r>
      <w:r w:rsidR="00FE3CFC" w:rsidRPr="004540B9">
        <w:rPr>
          <w:sz w:val="22"/>
          <w:szCs w:val="22"/>
        </w:rPr>
        <w:t xml:space="preserve">; </w:t>
      </w:r>
    </w:p>
    <w:p w:rsidR="00FE3CFC" w:rsidRPr="004540B9" w:rsidRDefault="00FE3CFC" w:rsidP="00FE3CFC">
      <w:pPr>
        <w:pStyle w:val="Default"/>
        <w:numPr>
          <w:ilvl w:val="0"/>
          <w:numId w:val="5"/>
        </w:numPr>
        <w:spacing w:after="178"/>
        <w:rPr>
          <w:sz w:val="22"/>
          <w:szCs w:val="22"/>
        </w:rPr>
      </w:pPr>
      <w:r w:rsidRPr="004540B9">
        <w:rPr>
          <w:sz w:val="22"/>
          <w:szCs w:val="22"/>
        </w:rPr>
        <w:t xml:space="preserve">náklady na subdodávky; </w:t>
      </w:r>
    </w:p>
    <w:p w:rsidR="00FE3CFC" w:rsidRPr="004540B9" w:rsidRDefault="00FE3CFC" w:rsidP="00FE3CFC">
      <w:pPr>
        <w:pStyle w:val="Default"/>
        <w:numPr>
          <w:ilvl w:val="0"/>
          <w:numId w:val="5"/>
        </w:numPr>
        <w:spacing w:after="178"/>
        <w:rPr>
          <w:sz w:val="22"/>
          <w:szCs w:val="22"/>
        </w:rPr>
      </w:pPr>
      <w:r w:rsidRPr="004540B9">
        <w:rPr>
          <w:sz w:val="22"/>
          <w:szCs w:val="22"/>
        </w:rPr>
        <w:t xml:space="preserve">ostatní přímé náklady; </w:t>
      </w:r>
    </w:p>
    <w:p w:rsidR="004129C7" w:rsidRPr="001F1840" w:rsidRDefault="00FE3CFC" w:rsidP="009F5B0D">
      <w:pPr>
        <w:pStyle w:val="Default"/>
        <w:numPr>
          <w:ilvl w:val="0"/>
          <w:numId w:val="5"/>
        </w:numPr>
        <w:spacing w:line="360" w:lineRule="auto"/>
        <w:rPr>
          <w:b/>
          <w:color w:val="auto"/>
          <w:sz w:val="22"/>
          <w:szCs w:val="22"/>
        </w:rPr>
      </w:pPr>
      <w:r w:rsidRPr="001F1840">
        <w:rPr>
          <w:b/>
          <w:color w:val="auto"/>
          <w:sz w:val="22"/>
          <w:szCs w:val="22"/>
        </w:rPr>
        <w:t>nepřímé náklady</w:t>
      </w:r>
      <w:r w:rsidR="004540B9" w:rsidRPr="001F1840">
        <w:rPr>
          <w:b/>
          <w:color w:val="auto"/>
          <w:sz w:val="22"/>
          <w:szCs w:val="22"/>
        </w:rPr>
        <w:t xml:space="preserve"> </w:t>
      </w:r>
      <w:r w:rsidR="00103A81" w:rsidRPr="001F1840">
        <w:rPr>
          <w:b/>
          <w:color w:val="auto"/>
          <w:sz w:val="22"/>
          <w:szCs w:val="22"/>
        </w:rPr>
        <w:t xml:space="preserve">pouze metodou </w:t>
      </w:r>
      <w:r w:rsidR="004540B9" w:rsidRPr="001F1840">
        <w:rPr>
          <w:b/>
          <w:color w:val="auto"/>
          <w:sz w:val="22"/>
          <w:szCs w:val="22"/>
        </w:rPr>
        <w:t>FLATE RATE 2</w:t>
      </w:r>
      <w:r w:rsidR="00103A81" w:rsidRPr="001F1840">
        <w:rPr>
          <w:b/>
          <w:color w:val="auto"/>
          <w:sz w:val="22"/>
          <w:szCs w:val="22"/>
        </w:rPr>
        <w:t>0</w:t>
      </w:r>
      <w:r w:rsidR="004540B9" w:rsidRPr="001F1840">
        <w:rPr>
          <w:b/>
          <w:color w:val="auto"/>
          <w:sz w:val="22"/>
          <w:szCs w:val="22"/>
        </w:rPr>
        <w:t>%</w:t>
      </w:r>
      <w:r w:rsidRPr="001F1840">
        <w:rPr>
          <w:b/>
          <w:color w:val="auto"/>
          <w:sz w:val="22"/>
          <w:szCs w:val="22"/>
        </w:rPr>
        <w:t xml:space="preserve"> </w:t>
      </w:r>
      <w:r w:rsidR="00103A81" w:rsidRPr="001F1840">
        <w:rPr>
          <w:b/>
          <w:color w:val="auto"/>
          <w:sz w:val="22"/>
          <w:szCs w:val="22"/>
        </w:rPr>
        <w:t xml:space="preserve"> </w:t>
      </w:r>
    </w:p>
    <w:p w:rsidR="001F1840" w:rsidRPr="001F1840" w:rsidRDefault="001F1840" w:rsidP="001F1840">
      <w:pPr>
        <w:pStyle w:val="Default"/>
        <w:spacing w:line="360" w:lineRule="auto"/>
        <w:ind w:left="720"/>
        <w:rPr>
          <w:color w:val="FF0000"/>
          <w:sz w:val="22"/>
          <w:szCs w:val="22"/>
        </w:rPr>
      </w:pPr>
    </w:p>
    <w:p w:rsidR="000D25EF" w:rsidRPr="001F1840" w:rsidRDefault="000D25EF" w:rsidP="004129C7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1F1840">
        <w:rPr>
          <w:b/>
          <w:color w:val="auto"/>
          <w:sz w:val="22"/>
          <w:szCs w:val="22"/>
        </w:rPr>
        <w:t>V této veřejné soutěži nepatří mezi způsobilé náklady daň z přidané hodnoty</w:t>
      </w:r>
    </w:p>
    <w:p w:rsidR="00FE3CFC" w:rsidRPr="004540B9" w:rsidRDefault="00FE3CFC" w:rsidP="0057770F">
      <w:pPr>
        <w:rPr>
          <w:b/>
        </w:rPr>
      </w:pPr>
    </w:p>
    <w:p w:rsidR="00894BEB" w:rsidRPr="00525099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Způsob podání návrhů projektů:</w:t>
      </w:r>
    </w:p>
    <w:p w:rsidR="004540B9" w:rsidRDefault="004540B9" w:rsidP="004540B9">
      <w:pPr>
        <w:rPr>
          <w:b/>
        </w:rPr>
      </w:pPr>
      <w:r w:rsidRPr="007C2781">
        <w:rPr>
          <w:b/>
        </w:rPr>
        <w:t>Webový portál ISTA</w:t>
      </w:r>
      <w:r>
        <w:rPr>
          <w:b/>
        </w:rPr>
        <w:t xml:space="preserve"> </w:t>
      </w:r>
      <w:hyperlink r:id="rId12" w:history="1">
        <w:r w:rsidR="00103A81" w:rsidRPr="00626B61">
          <w:rPr>
            <w:rStyle w:val="Hypertextovodkaz"/>
          </w:rPr>
          <w:t>https://ista.tacr.cz/ISTA/action/Dashboard/ExternalNew/?actionId=6798826730857997&amp;ts=1651134055512&amp;hash=/PRnciOWYPGy0ZuRTsNaKYXfoMOiF9jN8xXBwm4AbZU=&amp;nbl=true&amp;uselastresult=true&amp;_browserSessionID=&amp;lang</w:t>
        </w:r>
      </w:hyperlink>
      <w:r w:rsidR="00103A81" w:rsidRPr="00103A81">
        <w:t>=</w:t>
      </w:r>
      <w:r w:rsidR="00103A81">
        <w:t xml:space="preserve"> </w:t>
      </w:r>
    </w:p>
    <w:p w:rsidR="00894BEB" w:rsidRPr="00BF0F25" w:rsidRDefault="00894BEB" w:rsidP="0057770F">
      <w:pPr>
        <w:rPr>
          <w:b/>
          <w:highlight w:val="yellow"/>
        </w:rPr>
      </w:pPr>
    </w:p>
    <w:p w:rsidR="00894BEB" w:rsidRPr="000036D5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0036D5">
        <w:rPr>
          <w:b/>
          <w:color w:val="1F4E79" w:themeColor="accent1" w:themeShade="80"/>
          <w:sz w:val="28"/>
          <w:szCs w:val="28"/>
        </w:rPr>
        <w:t>Požadavky na způsobilost:</w:t>
      </w:r>
    </w:p>
    <w:p w:rsidR="004540B9" w:rsidRPr="000036D5" w:rsidRDefault="004540B9" w:rsidP="004540B9">
      <w:pPr>
        <w:rPr>
          <w:b/>
        </w:rPr>
      </w:pPr>
      <w:r w:rsidRPr="000036D5">
        <w:rPr>
          <w:b/>
        </w:rPr>
        <w:t>Požadavky na způsobilost:</w:t>
      </w:r>
    </w:p>
    <w:p w:rsidR="004540B9" w:rsidRPr="000036D5" w:rsidRDefault="004540B9" w:rsidP="001F1840">
      <w:pPr>
        <w:jc w:val="both"/>
        <w:rPr>
          <w:b/>
        </w:rPr>
      </w:pPr>
      <w:r w:rsidRPr="000036D5">
        <w:rPr>
          <w:b/>
        </w:rPr>
        <w:t xml:space="preserve">Čestné prohlášení za uchazeče – bude zajištěno rektorátem prostřednictvím datové schránky centrálně za všechny projekty ve lhůtě stanovené poskytovatelem. </w:t>
      </w:r>
      <w:r w:rsidRPr="000036D5">
        <w:t>Všichni uchazeči musí zaslat ČP o prokázání způsobilosti uchazeče ze své datové schránky a v kolonce Věc musí být uvedeno:</w:t>
      </w:r>
      <w:r w:rsidRPr="000036D5">
        <w:rPr>
          <w:b/>
        </w:rPr>
        <w:t xml:space="preserve"> „</w:t>
      </w:r>
      <w:r w:rsidR="000036D5">
        <w:rPr>
          <w:b/>
        </w:rPr>
        <w:t>P</w:t>
      </w:r>
      <w:r w:rsidRPr="000036D5">
        <w:rPr>
          <w:b/>
        </w:rPr>
        <w:t>rogram TREND</w:t>
      </w:r>
      <w:r w:rsidR="00144FEB">
        <w:rPr>
          <w:b/>
        </w:rPr>
        <w:t xml:space="preserve"> </w:t>
      </w:r>
      <w:r w:rsidRPr="000036D5">
        <w:rPr>
          <w:b/>
        </w:rPr>
        <w:t xml:space="preserve">– </w:t>
      </w:r>
      <w:r w:rsidR="004129C7">
        <w:rPr>
          <w:b/>
        </w:rPr>
        <w:t>Prokázání způsobilosti</w:t>
      </w:r>
      <w:r w:rsidRPr="000036D5">
        <w:rPr>
          <w:b/>
        </w:rPr>
        <w:t xml:space="preserve">“. </w:t>
      </w:r>
      <w:r w:rsidRPr="001F1840">
        <w:t>Zahraniční uchazeči</w:t>
      </w:r>
      <w:r w:rsidR="000036D5" w:rsidRPr="001F1840">
        <w:t xml:space="preserve"> nebo ti, kteří nemají datovou schránku</w:t>
      </w:r>
      <w:r w:rsidRPr="001F1840">
        <w:t xml:space="preserve"> zašlou doklady prokazující způsobilost v listinné podobě.</w:t>
      </w:r>
      <w:r w:rsidRPr="000036D5">
        <w:rPr>
          <w:b/>
        </w:rPr>
        <w:t xml:space="preserve"> </w:t>
      </w:r>
    </w:p>
    <w:p w:rsidR="00894BEB" w:rsidRDefault="004540B9" w:rsidP="001F1840">
      <w:pPr>
        <w:jc w:val="both"/>
        <w:rPr>
          <w:b/>
        </w:rPr>
      </w:pPr>
      <w:r w:rsidRPr="000036D5">
        <w:rPr>
          <w:b/>
        </w:rPr>
        <w:t>VUT splňuje povinnost zveřejnit účetní závěrku tím, že vydává výroční zprávu o hospodaření.</w:t>
      </w:r>
    </w:p>
    <w:p w:rsidR="00AA343B" w:rsidRPr="005A485D" w:rsidRDefault="00AA343B" w:rsidP="001F1840">
      <w:pPr>
        <w:jc w:val="both"/>
        <w:rPr>
          <w:b/>
          <w:color w:val="FF0000"/>
        </w:rPr>
      </w:pPr>
      <w:r w:rsidRPr="005A485D">
        <w:rPr>
          <w:b/>
          <w:color w:val="FF0000"/>
        </w:rPr>
        <w:t xml:space="preserve">Uchazeči musí být zapsaní v evidenci skutečných majitelů. Pokud uchazeč není zapsán v evidenci skutečných majitelů do termínu konce soutěžní lhůty, tedy do </w:t>
      </w:r>
      <w:r w:rsidR="004129C7" w:rsidRPr="005A485D">
        <w:rPr>
          <w:b/>
          <w:color w:val="FF0000"/>
        </w:rPr>
        <w:t>23</w:t>
      </w:r>
      <w:r w:rsidRPr="005A485D">
        <w:rPr>
          <w:b/>
          <w:color w:val="FF0000"/>
        </w:rPr>
        <w:t xml:space="preserve">. </w:t>
      </w:r>
      <w:r w:rsidR="004129C7" w:rsidRPr="005A485D">
        <w:rPr>
          <w:b/>
          <w:color w:val="FF0000"/>
        </w:rPr>
        <w:t>11</w:t>
      </w:r>
      <w:r w:rsidRPr="005A485D">
        <w:rPr>
          <w:b/>
          <w:color w:val="FF0000"/>
        </w:rPr>
        <w:t>. 2022, nepřijme TA ČR návrh projektu do veřejné soutěže.</w:t>
      </w:r>
    </w:p>
    <w:p w:rsidR="00AA343B" w:rsidRPr="000036D5" w:rsidRDefault="00AA343B" w:rsidP="004540B9">
      <w:pPr>
        <w:rPr>
          <w:b/>
        </w:rPr>
      </w:pPr>
    </w:p>
    <w:p w:rsidR="004129C7" w:rsidRPr="00E143FA" w:rsidRDefault="003206E0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Návrh projektu:</w:t>
      </w:r>
    </w:p>
    <w:p w:rsidR="004129C7" w:rsidRDefault="004129C7" w:rsidP="005A485D">
      <w:pPr>
        <w:jc w:val="both"/>
      </w:pPr>
      <w:r>
        <w:t xml:space="preserve">Návrh projektu musí být do veřejné soutěže podán v elektronické podobě prostřednictvím ISTA. </w:t>
      </w:r>
    </w:p>
    <w:p w:rsidR="004129C7" w:rsidRDefault="004129C7" w:rsidP="005A485D">
      <w:pPr>
        <w:jc w:val="both"/>
      </w:pPr>
      <w:r>
        <w:t xml:space="preserve">Po podání návrhu projektu prostřednictvím ISTA vlastník návrhu projektu vygeneruje dokument „Potvrzení podání elektronického návrhu projektu do ISTA”. </w:t>
      </w:r>
    </w:p>
    <w:p w:rsidR="004129C7" w:rsidRDefault="004129C7" w:rsidP="005A485D">
      <w:pPr>
        <w:jc w:val="both"/>
      </w:pPr>
      <w:r>
        <w:t xml:space="preserve">Tento dokument obsahuje jednoznačné identifikátory, které musí být shodné s elektronicky odeslaným návrhem projektu. </w:t>
      </w:r>
    </w:p>
    <w:p w:rsidR="004129C7" w:rsidRPr="001F1840" w:rsidRDefault="004129C7" w:rsidP="005A485D">
      <w:pPr>
        <w:jc w:val="both"/>
        <w:rPr>
          <w:b/>
        </w:rPr>
      </w:pPr>
      <w:r w:rsidRPr="001F1840">
        <w:rPr>
          <w:b/>
        </w:rPr>
        <w:t xml:space="preserve">Potvrzení podání elektronického návrhu projektu do ISTA: </w:t>
      </w:r>
    </w:p>
    <w:p w:rsidR="004129C7" w:rsidRPr="001F1840" w:rsidRDefault="004129C7" w:rsidP="005A485D">
      <w:pPr>
        <w:jc w:val="both"/>
        <w:rPr>
          <w:b/>
        </w:rPr>
      </w:pPr>
      <w:r w:rsidRPr="001F1840">
        <w:t xml:space="preserve">• </w:t>
      </w:r>
      <w:r w:rsidRPr="001F1840">
        <w:rPr>
          <w:b/>
        </w:rPr>
        <w:t xml:space="preserve">musí být odesláno z datové schránky hlavního uchazeče do datové schránky TA ČR (ID datové schránky: afth9xp); </w:t>
      </w:r>
    </w:p>
    <w:p w:rsidR="004129C7" w:rsidRPr="001F1840" w:rsidRDefault="004129C7" w:rsidP="005A485D">
      <w:pPr>
        <w:jc w:val="both"/>
        <w:rPr>
          <w:b/>
        </w:rPr>
      </w:pPr>
      <w:r w:rsidRPr="001F1840">
        <w:rPr>
          <w:b/>
        </w:rPr>
        <w:t>• v náležitostech zprávy v datovém poli „Věc“ uveďte „Program TREND – Potvrzení podání“</w:t>
      </w:r>
    </w:p>
    <w:p w:rsidR="00E143FA" w:rsidRDefault="00E143FA" w:rsidP="0057770F">
      <w:pPr>
        <w:rPr>
          <w:b/>
          <w:color w:val="1F4E79" w:themeColor="accent1" w:themeShade="80"/>
          <w:sz w:val="28"/>
          <w:szCs w:val="28"/>
        </w:rPr>
      </w:pPr>
    </w:p>
    <w:p w:rsidR="008B6889" w:rsidRPr="00E143FA" w:rsidRDefault="003206E0" w:rsidP="00E143FA">
      <w:pPr>
        <w:spacing w:before="160" w:after="0"/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Povinné přílohy:</w:t>
      </w:r>
    </w:p>
    <w:p w:rsidR="00E143FA" w:rsidRPr="00E143FA" w:rsidRDefault="00E143FA" w:rsidP="005A485D">
      <w:pPr>
        <w:pStyle w:val="Odstavecseseznamem"/>
        <w:numPr>
          <w:ilvl w:val="0"/>
          <w:numId w:val="15"/>
        </w:numPr>
        <w:spacing w:before="160" w:after="0"/>
        <w:jc w:val="both"/>
      </w:pPr>
      <w:r w:rsidRPr="00E143FA">
        <w:rPr>
          <w:b/>
        </w:rPr>
        <w:t>Představení projektu</w:t>
      </w:r>
      <w:r>
        <w:t xml:space="preserve"> – věcná část návrhu projektu, která musí být povinně přiložena ve formátu pdf k návrhu projektu, musí obsahovat všechny části podle přílohy č. 1 Zadávací dokumentace, které jsou nezbytné pro hodnocení návrhu projektu. Osnova představení projektu je uvedena v příloze č. 1</w:t>
      </w:r>
    </w:p>
    <w:p w:rsidR="00E143FA" w:rsidRPr="00E143FA" w:rsidRDefault="00E143FA" w:rsidP="005A485D">
      <w:pPr>
        <w:pStyle w:val="Odstavecseseznamem"/>
        <w:numPr>
          <w:ilvl w:val="0"/>
          <w:numId w:val="15"/>
        </w:numPr>
        <w:jc w:val="both"/>
      </w:pPr>
      <w:r w:rsidRPr="00E143FA">
        <w:rPr>
          <w:b/>
        </w:rPr>
        <w:t>Doložení uplatnění výsledků</w:t>
      </w:r>
      <w:r>
        <w:t xml:space="preserve"> – doložení tržního potenciálu očekávaných výstupů/výsledků návrhu projektu, přičemž tento dokument musí povinně zahrnovat stručnou marketingovou studii. Studie bude zahrnovat předběžný průzkum upotřebitelnosti výstupů/výsledků návrhu projektu na trhu, stručný popis relevantního trhu v ČR a v zahraničí (konkurenční produkty, předpokládaný vývoj poptávky) a bude obsahovat odůvodnění odhadů ekonomických přínosů projektu. Vzorová osnova doložení uplatnění výsledků je uvedena v příloze č. 2</w:t>
      </w:r>
    </w:p>
    <w:p w:rsidR="00E143FA" w:rsidRPr="00E143FA" w:rsidRDefault="00E143FA" w:rsidP="005A485D">
      <w:pPr>
        <w:pStyle w:val="Odstavecseseznamem"/>
        <w:numPr>
          <w:ilvl w:val="0"/>
          <w:numId w:val="15"/>
        </w:numPr>
        <w:jc w:val="both"/>
      </w:pPr>
      <w:r w:rsidRPr="00E143FA">
        <w:rPr>
          <w:b/>
        </w:rPr>
        <w:t>Ekonomické přínosy projektu</w:t>
      </w:r>
      <w:r>
        <w:t xml:space="preserve"> – stručná tabulka s plánovanými ekonomickými přínosy projektu. Vzorová tabulka ekonomických přínosů je uvedena v příloze č. 3</w:t>
      </w:r>
    </w:p>
    <w:p w:rsidR="00E143FA" w:rsidRDefault="00E143FA" w:rsidP="005A485D">
      <w:pPr>
        <w:pStyle w:val="Odstavecseseznamem"/>
        <w:numPr>
          <w:ilvl w:val="0"/>
          <w:numId w:val="15"/>
        </w:numPr>
        <w:jc w:val="both"/>
      </w:pPr>
      <w:r w:rsidRPr="00E143FA">
        <w:rPr>
          <w:b/>
        </w:rPr>
        <w:t>Prohlášení o dodržování zásady „významně nepoškozovat“</w:t>
      </w:r>
      <w:r>
        <w:t xml:space="preserve"> - vyjádření, jakým způsobem dochází k dodržování zásady "významně nepoškozovat", tzn. nedochází k porušení ani jednoho z šesti environmentálních cílů a výsledky projektu budou na úrovni uplatňování technologicky neutrální. Vzorový dokument prohlášení o dodržování zásady „významně nepoškozovat“ je uveden v příloze č. 4</w:t>
      </w:r>
    </w:p>
    <w:p w:rsidR="001F1840" w:rsidRPr="00E143FA" w:rsidRDefault="001F1840" w:rsidP="005A485D">
      <w:pPr>
        <w:pStyle w:val="Odstavecseseznamem"/>
        <w:numPr>
          <w:ilvl w:val="0"/>
          <w:numId w:val="15"/>
        </w:numPr>
        <w:jc w:val="both"/>
      </w:pPr>
      <w:r>
        <w:t>V případě účasti dalšího účastníka ze zahraničn</w:t>
      </w:r>
      <w:r w:rsidR="005A485D">
        <w:t>í -</w:t>
      </w:r>
      <w:r>
        <w:t xml:space="preserve"> </w:t>
      </w:r>
      <w:r w:rsidRPr="001F1840">
        <w:rPr>
          <w:b/>
        </w:rPr>
        <w:t>údaje o skutečném majiteli zahraničního uchazeče</w:t>
      </w:r>
    </w:p>
    <w:p w:rsidR="00BF0F25" w:rsidRPr="00E143FA" w:rsidRDefault="00BF0F25" w:rsidP="005A485D">
      <w:pPr>
        <w:jc w:val="both"/>
      </w:pPr>
      <w:r w:rsidRPr="00E143FA">
        <w:t xml:space="preserve">Všechny </w:t>
      </w:r>
      <w:r w:rsidR="000036D5" w:rsidRPr="00E143FA">
        <w:t xml:space="preserve">povinné </w:t>
      </w:r>
      <w:r w:rsidRPr="00E143FA">
        <w:t>přílohy lze stáhnout v editova</w:t>
      </w:r>
      <w:r w:rsidR="000036D5" w:rsidRPr="00E143FA">
        <w:t>te</w:t>
      </w:r>
      <w:r w:rsidRPr="00E143FA">
        <w:t xml:space="preserve">lném formátu v ISTA. V návrhu projektu je potřeba je přiložit do kapitoly č. 3 PŘEDSTAVENÍ PROJEKTU/Vymezení projektu nebo 8. PŘÍLOHY ZA PROJEKT. </w:t>
      </w:r>
    </w:p>
    <w:p w:rsidR="00BF0F25" w:rsidRDefault="00BF0F25" w:rsidP="005A485D">
      <w:pPr>
        <w:pStyle w:val="Default"/>
        <w:ind w:left="720"/>
        <w:jc w:val="both"/>
        <w:rPr>
          <w:b/>
          <w:bCs/>
          <w:sz w:val="22"/>
          <w:szCs w:val="22"/>
        </w:rPr>
      </w:pPr>
    </w:p>
    <w:p w:rsidR="00612B2F" w:rsidRDefault="00612B2F" w:rsidP="005A485D">
      <w:pPr>
        <w:pStyle w:val="Default"/>
        <w:ind w:left="720"/>
        <w:jc w:val="both"/>
        <w:rPr>
          <w:b/>
          <w:bCs/>
          <w:sz w:val="22"/>
          <w:szCs w:val="22"/>
        </w:rPr>
      </w:pPr>
    </w:p>
    <w:p w:rsidR="00612B2F" w:rsidRDefault="00612B2F" w:rsidP="005A485D">
      <w:pPr>
        <w:pStyle w:val="Default"/>
        <w:ind w:left="720"/>
        <w:jc w:val="both"/>
        <w:rPr>
          <w:b/>
          <w:bCs/>
          <w:sz w:val="22"/>
          <w:szCs w:val="22"/>
        </w:rPr>
      </w:pPr>
    </w:p>
    <w:p w:rsidR="00563DF1" w:rsidRPr="00525099" w:rsidRDefault="00563DF1" w:rsidP="005A485D">
      <w:pPr>
        <w:jc w:val="both"/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Hodnocení:</w:t>
      </w:r>
    </w:p>
    <w:p w:rsidR="00563DF1" w:rsidRDefault="002613EA" w:rsidP="005A485D">
      <w:pPr>
        <w:jc w:val="both"/>
      </w:pPr>
      <w:r w:rsidRPr="00C73306">
        <w:t xml:space="preserve">Pro hodnocení návrhů projektů je stanoveno </w:t>
      </w:r>
      <w:r w:rsidR="00C73306" w:rsidRPr="00C73306">
        <w:t>7</w:t>
      </w:r>
      <w:r w:rsidRPr="00C73306">
        <w:t xml:space="preserve"> binárních kritérií</w:t>
      </w:r>
      <w:r w:rsidR="00531DCA" w:rsidRPr="00C73306">
        <w:t>,</w:t>
      </w:r>
      <w:r w:rsidRPr="00C73306">
        <w:t xml:space="preserve"> </w:t>
      </w:r>
      <w:r w:rsidR="00531DCA" w:rsidRPr="00C73306">
        <w:t>8</w:t>
      </w:r>
      <w:r w:rsidRPr="00C73306">
        <w:t xml:space="preserve"> bodovaných kritérií, která</w:t>
      </w:r>
      <w:r w:rsidR="00531DCA" w:rsidRPr="00C73306">
        <w:t xml:space="preserve"> </w:t>
      </w:r>
      <w:r w:rsidRPr="00C73306">
        <w:t xml:space="preserve">jsou hodnocena oponenty. </w:t>
      </w:r>
      <w:r w:rsidR="00563DF1" w:rsidRPr="00C73306">
        <w:t xml:space="preserve">(viz str. </w:t>
      </w:r>
      <w:r w:rsidR="00606286" w:rsidRPr="00C73306">
        <w:t>1</w:t>
      </w:r>
      <w:r w:rsidR="004129C7">
        <w:t>9</w:t>
      </w:r>
      <w:r w:rsidR="00563DF1" w:rsidRPr="00C73306">
        <w:t xml:space="preserve"> </w:t>
      </w:r>
      <w:r w:rsidRPr="00C73306">
        <w:t xml:space="preserve">– </w:t>
      </w:r>
      <w:r w:rsidR="004129C7">
        <w:t>20</w:t>
      </w:r>
      <w:r w:rsidR="00C73306" w:rsidRPr="00C73306">
        <w:t xml:space="preserve"> </w:t>
      </w:r>
      <w:hyperlink r:id="rId13" w:history="1">
        <w:r w:rsidR="00C73306" w:rsidRPr="00C73306">
          <w:rPr>
            <w:rStyle w:val="Hypertextovodkaz"/>
          </w:rPr>
          <w:t>zadávací dokumentace</w:t>
        </w:r>
      </w:hyperlink>
      <w:r w:rsidR="00C73306" w:rsidRPr="00C73306">
        <w:t xml:space="preserve">). </w:t>
      </w:r>
      <w:r w:rsidR="00144FEB" w:rsidRPr="00C73306">
        <w:t>Bližší informace k hodnocení jsou také uvedeny v</w:t>
      </w:r>
      <w:r w:rsidR="00C73306" w:rsidRPr="00C73306">
        <w:t> </w:t>
      </w:r>
      <w:hyperlink r:id="rId14" w:history="1">
        <w:r w:rsidR="00C73306" w:rsidRPr="00C73306">
          <w:rPr>
            <w:rStyle w:val="Hypertextovodkaz"/>
          </w:rPr>
          <w:t>Příloze č. 5 – Hodnotící proces</w:t>
        </w:r>
      </w:hyperlink>
      <w:r w:rsidR="00144FEB" w:rsidRPr="00C73306">
        <w:t>.</w:t>
      </w:r>
      <w:r w:rsidR="00144FEB">
        <w:t xml:space="preserve"> </w:t>
      </w:r>
    </w:p>
    <w:sectPr w:rsidR="0056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C973"/>
    <w:multiLevelType w:val="hybridMultilevel"/>
    <w:tmpl w:val="67B0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E6F7F"/>
    <w:multiLevelType w:val="hybridMultilevel"/>
    <w:tmpl w:val="5F2EF9C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6BDC"/>
    <w:multiLevelType w:val="hybridMultilevel"/>
    <w:tmpl w:val="56AA154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9CE5"/>
    <w:multiLevelType w:val="hybridMultilevel"/>
    <w:tmpl w:val="B6B056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D7D02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C08B1"/>
    <w:multiLevelType w:val="hybridMultilevel"/>
    <w:tmpl w:val="5A68B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86BF9"/>
    <w:multiLevelType w:val="hybridMultilevel"/>
    <w:tmpl w:val="5D8AF98C"/>
    <w:lvl w:ilvl="0" w:tplc="770A3E1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A490D7C"/>
    <w:multiLevelType w:val="hybridMultilevel"/>
    <w:tmpl w:val="F6F6038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54B1D"/>
    <w:multiLevelType w:val="hybridMultilevel"/>
    <w:tmpl w:val="AF5E51D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B07FB"/>
    <w:multiLevelType w:val="hybridMultilevel"/>
    <w:tmpl w:val="0F547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4594D"/>
    <w:multiLevelType w:val="hybridMultilevel"/>
    <w:tmpl w:val="F9B64582"/>
    <w:lvl w:ilvl="0" w:tplc="2F82F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13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  <w:num w:numId="13">
    <w:abstractNumId w:val="10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0F"/>
    <w:rsid w:val="000036D5"/>
    <w:rsid w:val="000059FC"/>
    <w:rsid w:val="00005F8C"/>
    <w:rsid w:val="0003137D"/>
    <w:rsid w:val="000A3AC2"/>
    <w:rsid w:val="000C6166"/>
    <w:rsid w:val="000D25EF"/>
    <w:rsid w:val="00103A81"/>
    <w:rsid w:val="00144FEB"/>
    <w:rsid w:val="001923C1"/>
    <w:rsid w:val="001B39D0"/>
    <w:rsid w:val="001C02BC"/>
    <w:rsid w:val="001F1840"/>
    <w:rsid w:val="00224459"/>
    <w:rsid w:val="0023715B"/>
    <w:rsid w:val="002613EA"/>
    <w:rsid w:val="00275400"/>
    <w:rsid w:val="00294A46"/>
    <w:rsid w:val="002B225D"/>
    <w:rsid w:val="002E1ECA"/>
    <w:rsid w:val="00307BC1"/>
    <w:rsid w:val="003206E0"/>
    <w:rsid w:val="00340F1D"/>
    <w:rsid w:val="004129C7"/>
    <w:rsid w:val="00415969"/>
    <w:rsid w:val="0044320D"/>
    <w:rsid w:val="004540B9"/>
    <w:rsid w:val="004B109F"/>
    <w:rsid w:val="004C6AED"/>
    <w:rsid w:val="00525099"/>
    <w:rsid w:val="00531DCA"/>
    <w:rsid w:val="00557E9F"/>
    <w:rsid w:val="00563DF1"/>
    <w:rsid w:val="0057770F"/>
    <w:rsid w:val="005A37C6"/>
    <w:rsid w:val="005A485D"/>
    <w:rsid w:val="006037FE"/>
    <w:rsid w:val="00606286"/>
    <w:rsid w:val="00612B2F"/>
    <w:rsid w:val="00614A99"/>
    <w:rsid w:val="00647EBB"/>
    <w:rsid w:val="006B2816"/>
    <w:rsid w:val="006B5E9F"/>
    <w:rsid w:val="006E0536"/>
    <w:rsid w:val="0074217B"/>
    <w:rsid w:val="00774823"/>
    <w:rsid w:val="007C2781"/>
    <w:rsid w:val="007D2E24"/>
    <w:rsid w:val="0080292A"/>
    <w:rsid w:val="00850853"/>
    <w:rsid w:val="00894BEB"/>
    <w:rsid w:val="008B6889"/>
    <w:rsid w:val="009D66C6"/>
    <w:rsid w:val="00AA343B"/>
    <w:rsid w:val="00AB60CA"/>
    <w:rsid w:val="00AF2878"/>
    <w:rsid w:val="00B61AEF"/>
    <w:rsid w:val="00BF0F25"/>
    <w:rsid w:val="00C10D9F"/>
    <w:rsid w:val="00C73306"/>
    <w:rsid w:val="00CA4F6F"/>
    <w:rsid w:val="00CC39C8"/>
    <w:rsid w:val="00D14577"/>
    <w:rsid w:val="00D66035"/>
    <w:rsid w:val="00D70187"/>
    <w:rsid w:val="00D704E8"/>
    <w:rsid w:val="00E143FA"/>
    <w:rsid w:val="00E656CA"/>
    <w:rsid w:val="00E96464"/>
    <w:rsid w:val="00EB3EF0"/>
    <w:rsid w:val="00F148C0"/>
    <w:rsid w:val="00FC3C0C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FE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40F1D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cerova@vutbr.cz" TargetMode="External"/><Relationship Id="rId13" Type="http://schemas.openxmlformats.org/officeDocument/2006/relationships/hyperlink" Target="https://www.tacr.cz/wp-content/uploads/documents/2022/10/05/1664962947_Zad%C3%A1vac%C3%AD%20dokumentace%208.%20VS%20TREND,%20PP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sta.tacr.cz/ISTA/action/Dashboard/ExternalNew/?actionId=6798826730857997&amp;ts=1651134055512&amp;hash=/PRnciOWYPGy0ZuRTsNaKYXfoMOiF9jN8xXBwm4AbZU=&amp;nbl=true&amp;uselastresult=true&amp;_browserSessionID=&amp;la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cr.cz/soutez/program-trend/osma-verejna-soutez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skova@vutbr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ankovam@vutbr.cz" TargetMode="External"/><Relationship Id="rId14" Type="http://schemas.openxmlformats.org/officeDocument/2006/relationships/hyperlink" Target="https://www.tacr.cz/wp-content/uploads/documents/2022/09/29/1664436166_P%C5%99%C3%ADloha%20%C4%8D.%205%20-%20Hodnotic%C3%AD%20proces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48A4C-6125-4760-8A71-AA1738B73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37B2A-D076-4B28-AD1C-DD93C06F5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0DB99F-5EE4-4D52-90F0-39E5D00E3E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Štěpánová Zita (131465)</cp:lastModifiedBy>
  <cp:revision>2</cp:revision>
  <dcterms:created xsi:type="dcterms:W3CDTF">2022-10-10T10:34:00Z</dcterms:created>
  <dcterms:modified xsi:type="dcterms:W3CDTF">2022-10-10T10:34:00Z</dcterms:modified>
</cp:coreProperties>
</file>