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BAB" w:rsidRDefault="00BD1090" w:rsidP="00240BAB">
      <w:pPr>
        <w:rPr>
          <w:rStyle w:val="subheading-category1"/>
          <w:b/>
          <w:caps w:val="0"/>
          <w:color w:val="0070C0"/>
          <w:sz w:val="36"/>
          <w:szCs w:val="36"/>
        </w:rPr>
      </w:pPr>
      <w:bookmarkStart w:id="0" w:name="_GoBack"/>
      <w:bookmarkEnd w:id="0"/>
      <w:r>
        <w:rPr>
          <w:rStyle w:val="subheading-category1"/>
          <w:b/>
          <w:caps w:val="0"/>
          <w:color w:val="0070C0"/>
          <w:sz w:val="36"/>
          <w:szCs w:val="36"/>
        </w:rPr>
        <w:t>5</w:t>
      </w:r>
      <w:r w:rsidR="002F1541">
        <w:rPr>
          <w:rStyle w:val="subheading-category1"/>
          <w:b/>
          <w:caps w:val="0"/>
          <w:color w:val="0070C0"/>
          <w:sz w:val="36"/>
          <w:szCs w:val="36"/>
        </w:rPr>
        <w:t>. Veřejná soutěž THÉTA</w:t>
      </w:r>
    </w:p>
    <w:p w:rsidR="00240BAB" w:rsidRPr="002F1541" w:rsidRDefault="002F1541" w:rsidP="0057770F">
      <w:pPr>
        <w:rPr>
          <w:b/>
        </w:rPr>
      </w:pPr>
      <w:r w:rsidRPr="002F1541">
        <w:rPr>
          <w:b/>
        </w:rPr>
        <w:t>Podprogram 1 – Výzkum ve veřejném zájmu</w:t>
      </w:r>
    </w:p>
    <w:p w:rsidR="002F1541" w:rsidRPr="002F1541" w:rsidRDefault="002F1541" w:rsidP="0057770F">
      <w:pPr>
        <w:rPr>
          <w:b/>
        </w:rPr>
      </w:pPr>
      <w:r w:rsidRPr="002F1541">
        <w:rPr>
          <w:b/>
        </w:rPr>
        <w:t>Podprogram 2 – Strategické energetické technologie</w:t>
      </w:r>
    </w:p>
    <w:p w:rsidR="002F1541" w:rsidRPr="002F1541" w:rsidRDefault="002F1541" w:rsidP="0057770F">
      <w:pPr>
        <w:rPr>
          <w:b/>
        </w:rPr>
      </w:pPr>
      <w:r w:rsidRPr="0061258A">
        <w:rPr>
          <w:b/>
        </w:rPr>
        <w:t>Bližší informace k jednotlivým podprogramům jsou rozpracovány v</w:t>
      </w:r>
      <w:r w:rsidR="0061258A" w:rsidRPr="0061258A">
        <w:rPr>
          <w:b/>
        </w:rPr>
        <w:t> </w:t>
      </w:r>
      <w:hyperlink r:id="rId6" w:history="1">
        <w:r w:rsidR="0061258A" w:rsidRPr="0061258A">
          <w:rPr>
            <w:rStyle w:val="Hypertextovodkaz"/>
            <w:b/>
          </w:rPr>
          <w:t>Příloze č. 2</w:t>
        </w:r>
      </w:hyperlink>
    </w:p>
    <w:p w:rsidR="002F1541" w:rsidRDefault="002F1541" w:rsidP="0057770F"/>
    <w:p w:rsidR="0057770F" w:rsidRPr="008F2375" w:rsidRDefault="0057770F" w:rsidP="0057770F">
      <w:pPr>
        <w:rPr>
          <w:b/>
          <w:color w:val="1F4E79" w:themeColor="accent1" w:themeShade="80"/>
          <w:sz w:val="28"/>
          <w:szCs w:val="28"/>
        </w:rPr>
      </w:pPr>
      <w:r w:rsidRPr="008F2375">
        <w:rPr>
          <w:b/>
          <w:color w:val="1F4E79" w:themeColor="accent1" w:themeShade="80"/>
          <w:sz w:val="28"/>
          <w:szCs w:val="28"/>
        </w:rPr>
        <w:t>Důležité termíny:</w:t>
      </w:r>
    </w:p>
    <w:p w:rsidR="007D1407" w:rsidRDefault="0057770F" w:rsidP="007C2781">
      <w:pPr>
        <w:spacing w:line="240" w:lineRule="auto"/>
        <w:rPr>
          <w:b/>
        </w:rPr>
      </w:pPr>
      <w:r>
        <w:t xml:space="preserve">Soutěžní lhůta začíná: </w:t>
      </w:r>
      <w:r w:rsidR="007D1407">
        <w:rPr>
          <w:b/>
        </w:rPr>
        <w:t>2. 6. 2022</w:t>
      </w:r>
    </w:p>
    <w:p w:rsidR="0057770F" w:rsidRDefault="0057770F" w:rsidP="007C2781">
      <w:pPr>
        <w:spacing w:line="240" w:lineRule="auto"/>
      </w:pPr>
      <w:r>
        <w:t xml:space="preserve">Soutěžní lhůta končí: </w:t>
      </w:r>
      <w:r w:rsidR="007D1407">
        <w:rPr>
          <w:b/>
        </w:rPr>
        <w:t>27. 7. 2022</w:t>
      </w:r>
      <w:r w:rsidR="002F1541">
        <w:rPr>
          <w:b/>
        </w:rPr>
        <w:t xml:space="preserve"> v 16:29:59 hod.</w:t>
      </w:r>
      <w:r w:rsidR="00740BFC">
        <w:rPr>
          <w:b/>
        </w:rPr>
        <w:t xml:space="preserve"> pro finalizaci projektové žádosti</w:t>
      </w:r>
      <w:r>
        <w:t xml:space="preserve">; </w:t>
      </w:r>
    </w:p>
    <w:p w:rsidR="0057770F" w:rsidRDefault="00740BFC" w:rsidP="00E30C7E">
      <w:pPr>
        <w:spacing w:line="240" w:lineRule="auto"/>
        <w:ind w:left="2937"/>
      </w:pPr>
      <w:r>
        <w:t>v </w:t>
      </w:r>
      <w:r w:rsidRPr="00740BFC">
        <w:rPr>
          <w:b/>
        </w:rPr>
        <w:t>23:59:59</w:t>
      </w:r>
      <w:r>
        <w:t xml:space="preserve"> končí lhůta pro prokázání způsobilosti a zaslání Potvrzení podání projektu a čestného prohlášení způsobilosti uchazeče. Pro zaslání potvrzení podání bude v datovém poli Věc uvedeno „Program THÉTA – Potvrzení podání“</w:t>
      </w:r>
      <w:r w:rsidR="007A363D">
        <w:t xml:space="preserve"> (ID datové schránky: afth9xp).</w:t>
      </w:r>
    </w:p>
    <w:p w:rsidR="00894BEB" w:rsidRDefault="00894BEB" w:rsidP="007C2781">
      <w:pPr>
        <w:spacing w:line="240" w:lineRule="auto"/>
        <w:rPr>
          <w:b/>
        </w:rPr>
      </w:pPr>
      <w:r w:rsidRPr="00894BEB">
        <w:t>Vyhlášení výsledků soutěže:</w:t>
      </w:r>
      <w:r>
        <w:rPr>
          <w:b/>
        </w:rPr>
        <w:t xml:space="preserve"> </w:t>
      </w:r>
      <w:r w:rsidR="00350D3D">
        <w:rPr>
          <w:b/>
        </w:rPr>
        <w:t>3</w:t>
      </w:r>
      <w:r w:rsidR="002F1541">
        <w:rPr>
          <w:b/>
        </w:rPr>
        <w:t>1</w:t>
      </w:r>
      <w:r w:rsidR="00350D3D">
        <w:rPr>
          <w:b/>
        </w:rPr>
        <w:t>.</w:t>
      </w:r>
      <w:r w:rsidR="00E11D70">
        <w:rPr>
          <w:b/>
        </w:rPr>
        <w:t xml:space="preserve"> </w:t>
      </w:r>
      <w:r w:rsidR="007D1407">
        <w:rPr>
          <w:b/>
        </w:rPr>
        <w:t>01</w:t>
      </w:r>
      <w:r w:rsidR="00350D3D">
        <w:rPr>
          <w:b/>
        </w:rPr>
        <w:t>.</w:t>
      </w:r>
      <w:r w:rsidR="00E11D70">
        <w:rPr>
          <w:b/>
        </w:rPr>
        <w:t xml:space="preserve"> </w:t>
      </w:r>
      <w:r w:rsidR="00350D3D">
        <w:rPr>
          <w:b/>
        </w:rPr>
        <w:t>202</w:t>
      </w:r>
      <w:r w:rsidR="007D1407">
        <w:rPr>
          <w:b/>
        </w:rPr>
        <w:t>3</w:t>
      </w:r>
    </w:p>
    <w:p w:rsidR="00894BEB" w:rsidRDefault="00894BEB" w:rsidP="007C2781">
      <w:pPr>
        <w:spacing w:line="240" w:lineRule="auto"/>
        <w:rPr>
          <w:b/>
        </w:rPr>
      </w:pPr>
      <w:r w:rsidRPr="00894BEB">
        <w:t>Zahájení řešení projektu:</w:t>
      </w:r>
      <w:r>
        <w:rPr>
          <w:b/>
        </w:rPr>
        <w:t xml:space="preserve"> 1. </w:t>
      </w:r>
      <w:r w:rsidR="007D1407">
        <w:rPr>
          <w:b/>
        </w:rPr>
        <w:t>2</w:t>
      </w:r>
      <w:r w:rsidR="00F36C80">
        <w:rPr>
          <w:b/>
        </w:rPr>
        <w:t xml:space="preserve">. </w:t>
      </w:r>
      <w:r>
        <w:rPr>
          <w:b/>
        </w:rPr>
        <w:t>202</w:t>
      </w:r>
      <w:r w:rsidR="007D1407">
        <w:rPr>
          <w:b/>
        </w:rPr>
        <w:t>3</w:t>
      </w:r>
      <w:r w:rsidR="00240BAB">
        <w:rPr>
          <w:b/>
        </w:rPr>
        <w:t xml:space="preserve"> – </w:t>
      </w:r>
      <w:r w:rsidR="007D1407">
        <w:rPr>
          <w:b/>
        </w:rPr>
        <w:t>1. 4. 2023</w:t>
      </w:r>
    </w:p>
    <w:p w:rsidR="00240BAB" w:rsidRDefault="00CD1210" w:rsidP="00CD1210">
      <w:pPr>
        <w:spacing w:line="240" w:lineRule="auto"/>
        <w:rPr>
          <w:b/>
        </w:rPr>
      </w:pPr>
      <w:r w:rsidRPr="00894BEB">
        <w:t>Nejzazší termín ukončení řešení projektu:</w:t>
      </w:r>
      <w:r>
        <w:rPr>
          <w:b/>
        </w:rPr>
        <w:t xml:space="preserve"> </w:t>
      </w:r>
      <w:r w:rsidR="00EA3292" w:rsidRPr="0061258A">
        <w:rPr>
          <w:b/>
        </w:rPr>
        <w:t>prosinec</w:t>
      </w:r>
      <w:r w:rsidR="00240BAB" w:rsidRPr="0061258A">
        <w:rPr>
          <w:b/>
        </w:rPr>
        <w:t xml:space="preserve"> 202</w:t>
      </w:r>
      <w:r w:rsidR="00EA3292" w:rsidRPr="0061258A">
        <w:rPr>
          <w:b/>
        </w:rPr>
        <w:t>5</w:t>
      </w:r>
    </w:p>
    <w:p w:rsidR="002F1541" w:rsidRDefault="00CD1210" w:rsidP="00CD1210">
      <w:pPr>
        <w:spacing w:line="240" w:lineRule="auto"/>
      </w:pPr>
      <w:r w:rsidRPr="00894BEB">
        <w:t>Délka řešení projektu:</w:t>
      </w:r>
      <w:r w:rsidR="007D1407">
        <w:t xml:space="preserve"> </w:t>
      </w:r>
      <w:r w:rsidR="007D1407">
        <w:rPr>
          <w:b/>
        </w:rPr>
        <w:t>12 – 35 měsíců</w:t>
      </w:r>
    </w:p>
    <w:p w:rsidR="0057770F" w:rsidRDefault="0057770F" w:rsidP="0057770F">
      <w:pPr>
        <w:rPr>
          <w:b/>
        </w:rPr>
      </w:pPr>
    </w:p>
    <w:p w:rsidR="004A1956" w:rsidRPr="008F2375" w:rsidRDefault="004A1956" w:rsidP="0057770F">
      <w:pPr>
        <w:rPr>
          <w:b/>
          <w:color w:val="1F4E79" w:themeColor="accent1" w:themeShade="80"/>
          <w:sz w:val="28"/>
          <w:szCs w:val="28"/>
        </w:rPr>
      </w:pPr>
      <w:r w:rsidRPr="008F2375">
        <w:rPr>
          <w:b/>
          <w:color w:val="1F4E79" w:themeColor="accent1" w:themeShade="80"/>
          <w:sz w:val="28"/>
          <w:szCs w:val="28"/>
        </w:rPr>
        <w:t>Kontaktní osoby:</w:t>
      </w:r>
    </w:p>
    <w:p w:rsidR="004A1956" w:rsidRDefault="00E30C7E" w:rsidP="0057770F">
      <w:pPr>
        <w:rPr>
          <w:b/>
        </w:rPr>
      </w:pPr>
      <w:r>
        <w:rPr>
          <w:b/>
        </w:rPr>
        <w:t>S</w:t>
      </w:r>
      <w:r w:rsidR="004A1956">
        <w:rPr>
          <w:b/>
        </w:rPr>
        <w:t>outěž TAČR na VUT Brno – Ing. Martina Legátová (</w:t>
      </w:r>
      <w:hyperlink r:id="rId7" w:history="1">
        <w:r w:rsidR="007D1407" w:rsidRPr="00B10A20">
          <w:rPr>
            <w:rStyle w:val="Hypertextovodkaz"/>
            <w:b/>
          </w:rPr>
          <w:t>legatova@vutbr.cz</w:t>
        </w:r>
      </w:hyperlink>
      <w:r w:rsidR="004A1956">
        <w:rPr>
          <w:b/>
        </w:rPr>
        <w:t>, kl. 5237)</w:t>
      </w:r>
    </w:p>
    <w:p w:rsidR="004A1956" w:rsidRDefault="004A1956" w:rsidP="0057770F">
      <w:pPr>
        <w:rPr>
          <w:b/>
        </w:rPr>
      </w:pPr>
      <w:r>
        <w:rPr>
          <w:b/>
        </w:rPr>
        <w:t>Duševní vlastnictví, konzultace smlouvy mezi uchazeči</w:t>
      </w:r>
      <w:r w:rsidR="00474F9B">
        <w:rPr>
          <w:b/>
        </w:rPr>
        <w:t>,</w:t>
      </w:r>
      <w:r w:rsidR="00481E77">
        <w:rPr>
          <w:b/>
        </w:rPr>
        <w:t xml:space="preserve"> </w:t>
      </w:r>
      <w:proofErr w:type="spellStart"/>
      <w:r w:rsidR="00481E77">
        <w:rPr>
          <w:b/>
        </w:rPr>
        <w:t>Letter</w:t>
      </w:r>
      <w:proofErr w:type="spellEnd"/>
      <w:r w:rsidR="00481E77">
        <w:rPr>
          <w:b/>
        </w:rPr>
        <w:t xml:space="preserve"> </w:t>
      </w:r>
      <w:proofErr w:type="spellStart"/>
      <w:r w:rsidR="00481E77">
        <w:rPr>
          <w:b/>
        </w:rPr>
        <w:t>of</w:t>
      </w:r>
      <w:proofErr w:type="spellEnd"/>
      <w:r w:rsidR="00481E77">
        <w:rPr>
          <w:b/>
        </w:rPr>
        <w:t xml:space="preserve"> </w:t>
      </w:r>
      <w:proofErr w:type="spellStart"/>
      <w:r w:rsidR="00481E77">
        <w:rPr>
          <w:b/>
        </w:rPr>
        <w:t>intent</w:t>
      </w:r>
      <w:proofErr w:type="spellEnd"/>
      <w:r>
        <w:rPr>
          <w:b/>
        </w:rPr>
        <w:t xml:space="preserve"> – OTT </w:t>
      </w:r>
      <w:r w:rsidR="007D1407">
        <w:rPr>
          <w:b/>
        </w:rPr>
        <w:t>Mgr. Michaela Daňková</w:t>
      </w:r>
      <w:r>
        <w:rPr>
          <w:b/>
        </w:rPr>
        <w:t xml:space="preserve"> (</w:t>
      </w:r>
      <w:hyperlink r:id="rId8" w:history="1">
        <w:r w:rsidR="007D1407" w:rsidRPr="00B10A20">
          <w:rPr>
            <w:rStyle w:val="Hypertextovodkaz"/>
            <w:b/>
          </w:rPr>
          <w:t>dankovam@vutbr.cz</w:t>
        </w:r>
      </w:hyperlink>
      <w:r>
        <w:rPr>
          <w:b/>
        </w:rPr>
        <w:t>, kl. 422</w:t>
      </w:r>
      <w:r w:rsidR="007D1407">
        <w:rPr>
          <w:b/>
        </w:rPr>
        <w:t>8</w:t>
      </w:r>
      <w:r>
        <w:rPr>
          <w:b/>
        </w:rPr>
        <w:t>)</w:t>
      </w:r>
    </w:p>
    <w:p w:rsidR="00A70CA5" w:rsidRDefault="00A70CA5" w:rsidP="0057770F">
      <w:pPr>
        <w:rPr>
          <w:b/>
        </w:rPr>
      </w:pPr>
      <w:r>
        <w:rPr>
          <w:b/>
        </w:rPr>
        <w:t>Otázka DPH v projektech TAČR – Ing. Romana Sasková (</w:t>
      </w:r>
      <w:hyperlink r:id="rId9" w:history="1">
        <w:r w:rsidR="007D1407" w:rsidRPr="00B10A20">
          <w:rPr>
            <w:rStyle w:val="Hypertextovodkaz"/>
            <w:b/>
          </w:rPr>
          <w:t>saskova@vutbr.cz</w:t>
        </w:r>
      </w:hyperlink>
      <w:r>
        <w:rPr>
          <w:b/>
        </w:rPr>
        <w:t>, kl. 5356)</w:t>
      </w:r>
    </w:p>
    <w:p w:rsidR="00A70CA5" w:rsidRDefault="005962B5" w:rsidP="0057770F">
      <w:pPr>
        <w:rPr>
          <w:b/>
        </w:rPr>
      </w:pPr>
      <w:r>
        <w:rPr>
          <w:b/>
        </w:rPr>
        <w:t xml:space="preserve">Zadání do APOLLA pod programem financování: </w:t>
      </w:r>
      <w:r w:rsidR="00162A88" w:rsidRPr="002F1541">
        <w:rPr>
          <w:b/>
        </w:rPr>
        <w:t>TK0</w:t>
      </w:r>
      <w:r w:rsidR="0061258A">
        <w:rPr>
          <w:b/>
        </w:rPr>
        <w:t>5</w:t>
      </w:r>
      <w:r w:rsidR="00162A88" w:rsidRPr="002F1541">
        <w:rPr>
          <w:b/>
        </w:rPr>
        <w:t>0</w:t>
      </w:r>
    </w:p>
    <w:p w:rsidR="005962B5" w:rsidRDefault="005962B5" w:rsidP="0057770F">
      <w:pPr>
        <w:rPr>
          <w:b/>
        </w:rPr>
      </w:pPr>
    </w:p>
    <w:p w:rsidR="00C10D9F" w:rsidRPr="008F2375" w:rsidRDefault="00C10D9F" w:rsidP="0057770F">
      <w:pPr>
        <w:rPr>
          <w:b/>
          <w:color w:val="1F4E79" w:themeColor="accent1" w:themeShade="80"/>
          <w:sz w:val="28"/>
          <w:szCs w:val="28"/>
        </w:rPr>
      </w:pPr>
      <w:r w:rsidRPr="008F2375">
        <w:rPr>
          <w:b/>
          <w:color w:val="1F4E79" w:themeColor="accent1" w:themeShade="80"/>
          <w:sz w:val="28"/>
          <w:szCs w:val="28"/>
        </w:rPr>
        <w:t>Odkaz na soutěž:</w:t>
      </w:r>
    </w:p>
    <w:p w:rsidR="002F1541" w:rsidRPr="007D1407" w:rsidRDefault="00B61C26" w:rsidP="00D32D3A">
      <w:hyperlink r:id="rId10" w:history="1">
        <w:r w:rsidR="007D1407" w:rsidRPr="00B10A20">
          <w:rPr>
            <w:rStyle w:val="Hypertextovodkaz"/>
          </w:rPr>
          <w:t>https://www.tacr.cz/soutez/program-theta/pata-verejna-soutez-4/</w:t>
        </w:r>
      </w:hyperlink>
      <w:r w:rsidR="007D1407">
        <w:t xml:space="preserve"> </w:t>
      </w:r>
    </w:p>
    <w:p w:rsidR="007D1407" w:rsidRDefault="007D1407" w:rsidP="00D32D3A">
      <w:pPr>
        <w:rPr>
          <w:b/>
          <w:color w:val="1F4E79" w:themeColor="accent1" w:themeShade="80"/>
          <w:sz w:val="28"/>
          <w:szCs w:val="28"/>
        </w:rPr>
      </w:pPr>
    </w:p>
    <w:p w:rsidR="00D32D3A" w:rsidRPr="008F2375" w:rsidRDefault="00D32D3A" w:rsidP="00D32D3A">
      <w:pPr>
        <w:rPr>
          <w:b/>
          <w:color w:val="1F4E79" w:themeColor="accent1" w:themeShade="80"/>
          <w:sz w:val="28"/>
          <w:szCs w:val="28"/>
        </w:rPr>
      </w:pPr>
      <w:r w:rsidRPr="008F2375">
        <w:rPr>
          <w:b/>
          <w:color w:val="1F4E79" w:themeColor="accent1" w:themeShade="80"/>
          <w:sz w:val="28"/>
          <w:szCs w:val="28"/>
        </w:rPr>
        <w:t>Základní finanční údaje</w:t>
      </w:r>
    </w:p>
    <w:p w:rsidR="00EA3292" w:rsidRDefault="00D32D3A" w:rsidP="00D32D3A">
      <w:pPr>
        <w:spacing w:line="100" w:lineRule="atLeast"/>
        <w:rPr>
          <w:b/>
        </w:rPr>
      </w:pPr>
      <w:r w:rsidRPr="00391934">
        <w:rPr>
          <w:b/>
        </w:rPr>
        <w:t>Alokace soutěže</w:t>
      </w:r>
      <w:r w:rsidR="00EA3292" w:rsidRPr="00391934">
        <w:rPr>
          <w:b/>
        </w:rPr>
        <w:t xml:space="preserve">: </w:t>
      </w:r>
      <w:r w:rsidR="0061258A">
        <w:rPr>
          <w:b/>
        </w:rPr>
        <w:t>710 mil. Kč</w:t>
      </w:r>
    </w:p>
    <w:p w:rsidR="000E4DE5" w:rsidRDefault="000E4DE5" w:rsidP="00D32D3A">
      <w:pPr>
        <w:spacing w:line="100" w:lineRule="atLeast"/>
        <w:rPr>
          <w:b/>
        </w:rPr>
      </w:pPr>
      <w:r>
        <w:rPr>
          <w:b/>
        </w:rPr>
        <w:t>PP1 – 125 mil. Kč</w:t>
      </w:r>
    </w:p>
    <w:p w:rsidR="000E4DE5" w:rsidRPr="0061258A" w:rsidRDefault="000E4DE5" w:rsidP="00D32D3A">
      <w:pPr>
        <w:spacing w:line="100" w:lineRule="atLeast"/>
        <w:rPr>
          <w:b/>
        </w:rPr>
      </w:pPr>
      <w:r>
        <w:rPr>
          <w:b/>
        </w:rPr>
        <w:t>PP2 – 585 mil. Kč</w:t>
      </w:r>
    </w:p>
    <w:p w:rsidR="00D32D3A" w:rsidRPr="00391934" w:rsidRDefault="00D32D3A" w:rsidP="00D32D3A">
      <w:pPr>
        <w:spacing w:line="100" w:lineRule="atLeast"/>
        <w:rPr>
          <w:b/>
        </w:rPr>
      </w:pPr>
      <w:r w:rsidRPr="00391934">
        <w:rPr>
          <w:b/>
        </w:rPr>
        <w:t>Maximální částka podpory na jeden projekt:</w:t>
      </w:r>
      <w:r w:rsidR="00240BAB" w:rsidRPr="00391934">
        <w:rPr>
          <w:b/>
        </w:rPr>
        <w:t xml:space="preserve"> </w:t>
      </w:r>
    </w:p>
    <w:p w:rsidR="00EA3292" w:rsidRPr="00EA3292" w:rsidRDefault="00EA3292" w:rsidP="00EA3292">
      <w:pPr>
        <w:spacing w:line="100" w:lineRule="atLeast"/>
        <w:rPr>
          <w:b/>
        </w:rPr>
      </w:pPr>
      <w:r>
        <w:lastRenderedPageBreak/>
        <w:t xml:space="preserve">PP1 – </w:t>
      </w:r>
      <w:r w:rsidRPr="00EA3292">
        <w:rPr>
          <w:b/>
        </w:rPr>
        <w:t>10 mil. Kč</w:t>
      </w:r>
    </w:p>
    <w:p w:rsidR="00EA3292" w:rsidRPr="00EA3292" w:rsidRDefault="00EA3292" w:rsidP="00EA3292">
      <w:pPr>
        <w:spacing w:line="100" w:lineRule="atLeast"/>
        <w:rPr>
          <w:b/>
        </w:rPr>
      </w:pPr>
      <w:r>
        <w:t xml:space="preserve">PP2 – </w:t>
      </w:r>
      <w:r w:rsidRPr="00EA3292">
        <w:rPr>
          <w:b/>
        </w:rPr>
        <w:t>není stanovena</w:t>
      </w:r>
    </w:p>
    <w:p w:rsidR="00EA3292" w:rsidRDefault="00EA3292" w:rsidP="00D32D3A">
      <w:pPr>
        <w:spacing w:line="100" w:lineRule="atLeast"/>
      </w:pPr>
    </w:p>
    <w:p w:rsidR="00EA3292" w:rsidRPr="00391934" w:rsidRDefault="00D32D3A" w:rsidP="00D32D3A">
      <w:pPr>
        <w:spacing w:line="100" w:lineRule="atLeast"/>
        <w:rPr>
          <w:b/>
        </w:rPr>
      </w:pPr>
      <w:r w:rsidRPr="00391934">
        <w:rPr>
          <w:b/>
        </w:rPr>
        <w:t>Maximální intenzita podpory na projekt:</w:t>
      </w:r>
      <w:r w:rsidR="00240BAB" w:rsidRPr="00391934">
        <w:rPr>
          <w:b/>
        </w:rPr>
        <w:t xml:space="preserve"> </w:t>
      </w:r>
      <w:r w:rsidR="00EA3292" w:rsidRPr="00391934">
        <w:rPr>
          <w:b/>
        </w:rPr>
        <w:tab/>
      </w:r>
    </w:p>
    <w:p w:rsidR="00D32D3A" w:rsidRPr="00EA3292" w:rsidRDefault="00EA3292" w:rsidP="00D32D3A">
      <w:pPr>
        <w:spacing w:line="100" w:lineRule="atLeast"/>
        <w:rPr>
          <w:b/>
        </w:rPr>
      </w:pPr>
      <w:r w:rsidRPr="00EA3292">
        <w:t xml:space="preserve">Podprogram 1  - </w:t>
      </w:r>
      <w:r w:rsidRPr="00EA3292">
        <w:rPr>
          <w:b/>
        </w:rPr>
        <w:t>90%</w:t>
      </w:r>
    </w:p>
    <w:p w:rsidR="00EA3292" w:rsidRPr="00EA3292" w:rsidRDefault="00EA3292" w:rsidP="00D32D3A">
      <w:pPr>
        <w:spacing w:line="100" w:lineRule="atLeast"/>
        <w:rPr>
          <w:b/>
        </w:rPr>
      </w:pPr>
      <w:r w:rsidRPr="00EA3292">
        <w:t xml:space="preserve">Podprogram 2 – </w:t>
      </w:r>
      <w:r w:rsidRPr="00EA3292">
        <w:rPr>
          <w:b/>
        </w:rPr>
        <w:t>60%</w:t>
      </w:r>
    </w:p>
    <w:p w:rsidR="00734728" w:rsidRDefault="00734728" w:rsidP="00D32D3A">
      <w:pPr>
        <w:spacing w:line="100" w:lineRule="atLeast"/>
      </w:pPr>
      <w:r>
        <w:rPr>
          <w:b/>
        </w:rPr>
        <w:t xml:space="preserve">Výzkumná organizace </w:t>
      </w:r>
      <w:r w:rsidR="00EA3292">
        <w:rPr>
          <w:b/>
        </w:rPr>
        <w:t>může mít</w:t>
      </w:r>
      <w:r>
        <w:rPr>
          <w:b/>
        </w:rPr>
        <w:t xml:space="preserve"> maximální intenzitu podpory na projekt </w:t>
      </w:r>
      <w:r w:rsidR="00EA3292">
        <w:rPr>
          <w:b/>
        </w:rPr>
        <w:t>100</w:t>
      </w:r>
      <w:r>
        <w:rPr>
          <w:b/>
        </w:rPr>
        <w:t>%.</w:t>
      </w:r>
    </w:p>
    <w:p w:rsidR="00350D3D" w:rsidRPr="008F2375" w:rsidRDefault="00391934" w:rsidP="0057770F">
      <w:pPr>
        <w:rPr>
          <w:b/>
          <w:color w:val="1F4E79" w:themeColor="accent1" w:themeShade="80"/>
          <w:sz w:val="28"/>
          <w:szCs w:val="28"/>
        </w:rPr>
      </w:pPr>
      <w:r>
        <w:rPr>
          <w:b/>
          <w:color w:val="1F4E79" w:themeColor="accent1" w:themeShade="80"/>
          <w:sz w:val="28"/>
          <w:szCs w:val="28"/>
        </w:rPr>
        <w:br/>
      </w:r>
      <w:r w:rsidR="00474F9B" w:rsidRPr="008F2375">
        <w:rPr>
          <w:b/>
          <w:color w:val="1F4E79" w:themeColor="accent1" w:themeShade="80"/>
          <w:sz w:val="28"/>
          <w:szCs w:val="28"/>
        </w:rPr>
        <w:t>Zaměření programu:</w:t>
      </w:r>
    </w:p>
    <w:p w:rsidR="00EA3292" w:rsidRPr="00EA3292" w:rsidRDefault="00EA3292" w:rsidP="00EA3292">
      <w:pPr>
        <w:rPr>
          <w:b/>
          <w:color w:val="1F4E79" w:themeColor="accent1" w:themeShade="80"/>
        </w:rPr>
      </w:pPr>
      <w:r w:rsidRPr="00EA3292">
        <w:rPr>
          <w:b/>
          <w:color w:val="1F4E79" w:themeColor="accent1" w:themeShade="80"/>
        </w:rPr>
        <w:t>Podprogram 1 – Výzkum ve veřejném zájmu</w:t>
      </w:r>
    </w:p>
    <w:p w:rsidR="00240BAB" w:rsidRDefault="0061258A" w:rsidP="00EA3292">
      <w:r>
        <w:t>V tomto podprogramu očekáváme návrhy projektů, které budou vycházet z potřeb veřejné správy v oblasti energetiky a nabídnou takové výstupy/výsledky, které bude veřejná správa využívat zejména při tvorbě metodik, strategických a koncepčních dokumentů, regulačních rámců apod. Jedná se zejména o podporu výzkumu a vývoje v oblasti spolehlivosti a technologického rozvoje jaderných zařízení, energetické regulace a v dalších relevantních oblastech.</w:t>
      </w:r>
    </w:p>
    <w:p w:rsidR="001B2F54" w:rsidRPr="008859D6" w:rsidRDefault="001B2F54" w:rsidP="00EA3292">
      <w:pPr>
        <w:rPr>
          <w:b/>
        </w:rPr>
      </w:pPr>
      <w:r w:rsidRPr="008859D6">
        <w:rPr>
          <w:b/>
        </w:rPr>
        <w:t>U podprogramu 1 je navíc vyžadována role aplikačního garanta</w:t>
      </w:r>
      <w:r w:rsidR="0061258A" w:rsidRPr="008859D6">
        <w:rPr>
          <w:b/>
        </w:rPr>
        <w:t xml:space="preserve"> (organizační složka státu nebo územně samosprávný celek), se kterým je potřeba návrh projektu konzultovat a připravovat</w:t>
      </w:r>
      <w:r w:rsidRPr="008859D6">
        <w:rPr>
          <w:b/>
        </w:rPr>
        <w:t>.</w:t>
      </w:r>
      <w:r w:rsidR="008859D6">
        <w:rPr>
          <w:b/>
        </w:rPr>
        <w:t xml:space="preserve"> Bližší informace k Aplikačnímu garantovi je uvedeno v </w:t>
      </w:r>
      <w:hyperlink r:id="rId11" w:history="1">
        <w:r w:rsidR="008859D6" w:rsidRPr="008859D6">
          <w:rPr>
            <w:rStyle w:val="Hypertextovodkaz"/>
            <w:b/>
          </w:rPr>
          <w:t>příloze č. 3</w:t>
        </w:r>
      </w:hyperlink>
      <w:r w:rsidR="008859D6">
        <w:rPr>
          <w:b/>
        </w:rPr>
        <w:t xml:space="preserve"> zadávací dokumentace. </w:t>
      </w:r>
    </w:p>
    <w:p w:rsidR="00EA3292" w:rsidRPr="00EA3292" w:rsidRDefault="00EA3292" w:rsidP="00EA3292">
      <w:pPr>
        <w:rPr>
          <w:b/>
          <w:color w:val="1F4E79" w:themeColor="accent1" w:themeShade="80"/>
        </w:rPr>
      </w:pPr>
      <w:r w:rsidRPr="00EA3292">
        <w:rPr>
          <w:b/>
          <w:color w:val="1F4E79" w:themeColor="accent1" w:themeShade="80"/>
        </w:rPr>
        <w:t xml:space="preserve">Podprogram 2 – Strategické energetické technologie </w:t>
      </w:r>
    </w:p>
    <w:p w:rsidR="00EA3292" w:rsidRDefault="0061258A" w:rsidP="00EA3292">
      <w:r>
        <w:t>Tento podprogram je zaměřen na podporu v oblasti energetických technologií a systémových prvků s vysokým potenciálem pro rychlé uplatnění v nových produktech, výrobních postupech a službách. Návrhy projektů patřící do podprogramu 2 musí vykazovat dostatečně promyšlený aplikační potenciál, a to včetně budoucí komercializace. Zásadní je zapojení podniků, které musí v návrhu projektu dostatečně popsat plán na uplatnění výstupů/výsledků v praxi. Uplatnění v praxi se předpokládá typicky do tří let od ukončení řešení projektu. Výzkum je tedy již v pokročilejší fázi.</w:t>
      </w:r>
    </w:p>
    <w:p w:rsidR="00EA3292" w:rsidRPr="00EA3292" w:rsidRDefault="00EA3292" w:rsidP="00EA3292"/>
    <w:p w:rsidR="0057770F" w:rsidRPr="008F2375" w:rsidRDefault="0057770F" w:rsidP="0057770F">
      <w:pPr>
        <w:rPr>
          <w:b/>
          <w:color w:val="1F4E79" w:themeColor="accent1" w:themeShade="80"/>
          <w:sz w:val="28"/>
          <w:szCs w:val="28"/>
        </w:rPr>
      </w:pPr>
      <w:r w:rsidRPr="008F2375">
        <w:rPr>
          <w:b/>
          <w:color w:val="1F4E79" w:themeColor="accent1" w:themeShade="80"/>
          <w:sz w:val="28"/>
          <w:szCs w:val="28"/>
        </w:rPr>
        <w:t>Uchazeči:</w:t>
      </w:r>
    </w:p>
    <w:p w:rsidR="00BC5DC4" w:rsidRDefault="00BC5DC4" w:rsidP="00BC5DC4">
      <w:pPr>
        <w:pStyle w:val="Odstavecseseznamem"/>
        <w:numPr>
          <w:ilvl w:val="0"/>
          <w:numId w:val="16"/>
        </w:numPr>
      </w:pPr>
      <w:r w:rsidRPr="00BC5DC4">
        <w:t xml:space="preserve">výzkumné organizace </w:t>
      </w:r>
    </w:p>
    <w:p w:rsidR="00CD7938" w:rsidRDefault="00474F9B" w:rsidP="00682062">
      <w:pPr>
        <w:pStyle w:val="Odstavecseseznamem"/>
        <w:numPr>
          <w:ilvl w:val="0"/>
          <w:numId w:val="16"/>
        </w:numPr>
      </w:pPr>
      <w:r>
        <w:t>podniky</w:t>
      </w:r>
      <w:r w:rsidR="002F1541">
        <w:t xml:space="preserve"> (bez ohledu na svou právní formu - např. neziskové organizace, spolky, příspěvkové organizace) </w:t>
      </w:r>
    </w:p>
    <w:p w:rsidR="00BC5DC4" w:rsidRPr="00BC5DC4" w:rsidRDefault="00BC5DC4" w:rsidP="00474F9B">
      <w:pPr>
        <w:pStyle w:val="Odstavecseseznamem"/>
        <w:ind w:left="993"/>
      </w:pPr>
    </w:p>
    <w:p w:rsidR="00421000" w:rsidRPr="008F2375" w:rsidRDefault="00421000" w:rsidP="008F2375">
      <w:pPr>
        <w:rPr>
          <w:b/>
          <w:color w:val="1F4E79" w:themeColor="accent1" w:themeShade="80"/>
          <w:sz w:val="28"/>
          <w:szCs w:val="28"/>
        </w:rPr>
      </w:pPr>
      <w:r w:rsidRPr="008F2375">
        <w:rPr>
          <w:b/>
          <w:color w:val="1F4E79" w:themeColor="accent1" w:themeShade="80"/>
          <w:sz w:val="28"/>
          <w:szCs w:val="28"/>
        </w:rPr>
        <w:t>Způsobilé náklady</w:t>
      </w:r>
      <w:r w:rsidR="00A24015" w:rsidRPr="008F2375">
        <w:rPr>
          <w:b/>
          <w:color w:val="1F4E79" w:themeColor="accent1" w:themeShade="80"/>
          <w:sz w:val="28"/>
          <w:szCs w:val="28"/>
        </w:rPr>
        <w:t>:</w:t>
      </w:r>
      <w:r w:rsidRPr="008F2375">
        <w:rPr>
          <w:b/>
          <w:color w:val="1F4E79" w:themeColor="accent1" w:themeShade="80"/>
          <w:sz w:val="28"/>
          <w:szCs w:val="28"/>
        </w:rPr>
        <w:t xml:space="preserve">  </w:t>
      </w:r>
    </w:p>
    <w:p w:rsidR="00421000" w:rsidRDefault="00421000" w:rsidP="00832490">
      <w:pPr>
        <w:pStyle w:val="Default"/>
        <w:numPr>
          <w:ilvl w:val="0"/>
          <w:numId w:val="34"/>
        </w:numPr>
        <w:spacing w:after="178" w:line="140" w:lineRule="atLeast"/>
        <w:ind w:left="714" w:hanging="357"/>
        <w:rPr>
          <w:sz w:val="22"/>
          <w:szCs w:val="22"/>
        </w:rPr>
      </w:pPr>
      <w:r>
        <w:rPr>
          <w:sz w:val="22"/>
          <w:szCs w:val="22"/>
        </w:rPr>
        <w:t>osobní ná</w:t>
      </w:r>
      <w:r w:rsidR="00A24015">
        <w:rPr>
          <w:sz w:val="22"/>
          <w:szCs w:val="22"/>
        </w:rPr>
        <w:t>klady</w:t>
      </w:r>
      <w:r>
        <w:rPr>
          <w:sz w:val="22"/>
          <w:szCs w:val="22"/>
        </w:rPr>
        <w:t xml:space="preserve">; </w:t>
      </w:r>
    </w:p>
    <w:p w:rsidR="00421000" w:rsidRDefault="00421000" w:rsidP="00832490">
      <w:pPr>
        <w:pStyle w:val="Default"/>
        <w:numPr>
          <w:ilvl w:val="0"/>
          <w:numId w:val="34"/>
        </w:numPr>
        <w:spacing w:after="178" w:line="140" w:lineRule="atLeast"/>
        <w:ind w:left="714" w:hanging="357"/>
        <w:rPr>
          <w:sz w:val="22"/>
          <w:szCs w:val="22"/>
        </w:rPr>
      </w:pPr>
      <w:r>
        <w:rPr>
          <w:sz w:val="22"/>
          <w:szCs w:val="22"/>
        </w:rPr>
        <w:t>náklady na subdodávky</w:t>
      </w:r>
      <w:r w:rsidR="00734728">
        <w:rPr>
          <w:sz w:val="22"/>
          <w:szCs w:val="22"/>
        </w:rPr>
        <w:t xml:space="preserve"> (max. 20% - jedná se o výzkumné subdodávky)</w:t>
      </w:r>
      <w:r>
        <w:rPr>
          <w:sz w:val="22"/>
          <w:szCs w:val="22"/>
        </w:rPr>
        <w:t xml:space="preserve">; </w:t>
      </w:r>
    </w:p>
    <w:p w:rsidR="00421000" w:rsidRDefault="00421000" w:rsidP="00832490">
      <w:pPr>
        <w:pStyle w:val="Default"/>
        <w:numPr>
          <w:ilvl w:val="0"/>
          <w:numId w:val="34"/>
        </w:numPr>
        <w:spacing w:after="178" w:line="140" w:lineRule="atLeast"/>
        <w:ind w:left="714" w:hanging="357"/>
        <w:rPr>
          <w:sz w:val="22"/>
          <w:szCs w:val="22"/>
        </w:rPr>
      </w:pPr>
      <w:r>
        <w:rPr>
          <w:sz w:val="22"/>
          <w:szCs w:val="22"/>
        </w:rPr>
        <w:t xml:space="preserve">ostatní přímé náklady; </w:t>
      </w:r>
    </w:p>
    <w:p w:rsidR="00F36C80" w:rsidRDefault="00421000" w:rsidP="00832490">
      <w:pPr>
        <w:pStyle w:val="Default"/>
        <w:numPr>
          <w:ilvl w:val="0"/>
          <w:numId w:val="34"/>
        </w:numPr>
        <w:spacing w:after="178" w:line="140" w:lineRule="atLeast"/>
        <w:ind w:left="714" w:hanging="357"/>
        <w:rPr>
          <w:sz w:val="22"/>
          <w:szCs w:val="22"/>
        </w:rPr>
      </w:pPr>
      <w:r>
        <w:rPr>
          <w:sz w:val="22"/>
          <w:szCs w:val="22"/>
        </w:rPr>
        <w:t>nepřímé náklady</w:t>
      </w:r>
      <w:r w:rsidR="00F36C80">
        <w:rPr>
          <w:sz w:val="22"/>
          <w:szCs w:val="22"/>
        </w:rPr>
        <w:t>;</w:t>
      </w:r>
    </w:p>
    <w:p w:rsidR="00F36C80" w:rsidRDefault="00F36C80" w:rsidP="00832490">
      <w:pPr>
        <w:pStyle w:val="Default"/>
        <w:numPr>
          <w:ilvl w:val="0"/>
          <w:numId w:val="34"/>
        </w:numPr>
        <w:spacing w:after="178" w:line="140" w:lineRule="atLeast"/>
        <w:ind w:left="714" w:hanging="357"/>
        <w:rPr>
          <w:sz w:val="22"/>
          <w:szCs w:val="22"/>
        </w:rPr>
      </w:pPr>
      <w:r>
        <w:rPr>
          <w:sz w:val="22"/>
          <w:szCs w:val="22"/>
        </w:rPr>
        <w:lastRenderedPageBreak/>
        <w:t>stipendia</w:t>
      </w:r>
      <w:r w:rsidR="004A1956">
        <w:rPr>
          <w:sz w:val="22"/>
          <w:szCs w:val="22"/>
        </w:rPr>
        <w:t>, která jsou zařazena do osobních nákladů</w:t>
      </w:r>
      <w:r>
        <w:rPr>
          <w:sz w:val="22"/>
          <w:szCs w:val="22"/>
        </w:rPr>
        <w:t xml:space="preserve"> </w:t>
      </w:r>
      <w:r w:rsidRPr="007D0697">
        <w:rPr>
          <w:b/>
          <w:sz w:val="22"/>
          <w:szCs w:val="22"/>
        </w:rPr>
        <w:t>(na VUT není tento náklad doporučován!)</w:t>
      </w:r>
    </w:p>
    <w:p w:rsidR="00894BEB" w:rsidRDefault="00210CA9" w:rsidP="0057770F">
      <w:pPr>
        <w:rPr>
          <w:b/>
        </w:rPr>
      </w:pPr>
      <w:r>
        <w:rPr>
          <w:b/>
        </w:rPr>
        <w:t xml:space="preserve">Nepřímé náklady: </w:t>
      </w:r>
      <w:proofErr w:type="spellStart"/>
      <w:r w:rsidRPr="00942569">
        <w:t>Flate</w:t>
      </w:r>
      <w:proofErr w:type="spellEnd"/>
      <w:r w:rsidRPr="00942569">
        <w:t xml:space="preserve"> </w:t>
      </w:r>
      <w:proofErr w:type="spellStart"/>
      <w:r w:rsidRPr="00942569">
        <w:t>rate</w:t>
      </w:r>
      <w:proofErr w:type="spellEnd"/>
      <w:r w:rsidRPr="00942569">
        <w:t xml:space="preserve"> </w:t>
      </w:r>
      <w:r w:rsidR="003B2398">
        <w:t>25</w:t>
      </w:r>
      <w:r w:rsidR="00C2215E" w:rsidRPr="00942569">
        <w:t xml:space="preserve">% </w:t>
      </w:r>
      <w:r w:rsidR="00942569" w:rsidRPr="00942569">
        <w:t xml:space="preserve">z osobních nákladů a ostatních přímých nákladů, </w:t>
      </w:r>
      <w:r w:rsidRPr="00942569">
        <w:t xml:space="preserve">nebo Full </w:t>
      </w:r>
      <w:proofErr w:type="spellStart"/>
      <w:r w:rsidRPr="00942569">
        <w:t>cost</w:t>
      </w:r>
      <w:proofErr w:type="spellEnd"/>
    </w:p>
    <w:p w:rsidR="00210CA9" w:rsidRDefault="00210CA9" w:rsidP="0057770F">
      <w:pPr>
        <w:rPr>
          <w:b/>
        </w:rPr>
      </w:pPr>
    </w:p>
    <w:p w:rsidR="00894BEB" w:rsidRPr="008F2375" w:rsidRDefault="00894BEB" w:rsidP="0057770F">
      <w:pPr>
        <w:rPr>
          <w:b/>
          <w:color w:val="1F4E79" w:themeColor="accent1" w:themeShade="80"/>
          <w:sz w:val="28"/>
          <w:szCs w:val="28"/>
        </w:rPr>
      </w:pPr>
      <w:r w:rsidRPr="008F2375">
        <w:rPr>
          <w:b/>
          <w:color w:val="1F4E79" w:themeColor="accent1" w:themeShade="80"/>
          <w:sz w:val="28"/>
          <w:szCs w:val="28"/>
        </w:rPr>
        <w:t>Způsob podání návrhů projektů:</w:t>
      </w:r>
    </w:p>
    <w:p w:rsidR="001B2F54" w:rsidRPr="001B2F54" w:rsidRDefault="001B2F54" w:rsidP="001B2F54">
      <w:pPr>
        <w:rPr>
          <w:b/>
        </w:rPr>
      </w:pPr>
      <w:r w:rsidRPr="001B2F54">
        <w:rPr>
          <w:b/>
        </w:rPr>
        <w:t xml:space="preserve">Webový portál ISTA </w:t>
      </w:r>
      <w:hyperlink r:id="rId12" w:history="1">
        <w:r w:rsidRPr="004635F1">
          <w:rPr>
            <w:rStyle w:val="Hypertextovodkaz"/>
            <w:b/>
          </w:rPr>
          <w:t>https://ista.tacr.cz/ISTA/action/Login/?actionId=4943457751884159&amp;step=0&amp;ts=1570697584751&amp;hash=B47FtK45KaETl6JXIn2iFQ==&amp;nbl=true</w:t>
        </w:r>
      </w:hyperlink>
      <w:r>
        <w:rPr>
          <w:b/>
        </w:rPr>
        <w:t xml:space="preserve"> </w:t>
      </w:r>
    </w:p>
    <w:p w:rsidR="00894BEB" w:rsidRPr="00C545CA" w:rsidRDefault="00894BEB" w:rsidP="00A26BA0">
      <w:pPr>
        <w:rPr>
          <w:b/>
          <w:highlight w:val="yellow"/>
        </w:rPr>
      </w:pPr>
    </w:p>
    <w:p w:rsidR="00894BEB" w:rsidRPr="00A26BA0" w:rsidRDefault="00894BEB" w:rsidP="0057770F">
      <w:pPr>
        <w:rPr>
          <w:b/>
          <w:color w:val="1F4E79" w:themeColor="accent1" w:themeShade="80"/>
          <w:sz w:val="28"/>
          <w:szCs w:val="28"/>
        </w:rPr>
      </w:pPr>
      <w:r w:rsidRPr="00A26BA0">
        <w:rPr>
          <w:b/>
          <w:color w:val="1F4E79" w:themeColor="accent1" w:themeShade="80"/>
          <w:sz w:val="28"/>
          <w:szCs w:val="28"/>
        </w:rPr>
        <w:t>Požadavky na způsobilost:</w:t>
      </w:r>
    </w:p>
    <w:p w:rsidR="00077902" w:rsidRPr="001B2F54" w:rsidRDefault="00077902" w:rsidP="00077902">
      <w:pPr>
        <w:rPr>
          <w:b/>
        </w:rPr>
      </w:pPr>
      <w:r w:rsidRPr="001B2F54">
        <w:rPr>
          <w:b/>
        </w:rPr>
        <w:t>Požadavky na způsobilost:</w:t>
      </w:r>
    </w:p>
    <w:p w:rsidR="00077902" w:rsidRPr="00077902" w:rsidRDefault="00077902" w:rsidP="00077902">
      <w:pPr>
        <w:rPr>
          <w:b/>
        </w:rPr>
      </w:pPr>
      <w:r w:rsidRPr="00077902">
        <w:t>Čestné prohlášení za uchazeče VUT Brno bude zajištěno rektorátem prostřednictvím datové schránky centrálně za všechny projekty ve lhůtě stanovené poskytovatelem. Každý další účastník musí poslat čestné prohlášení ze své datové schránky a v datovém poli</w:t>
      </w:r>
      <w:r w:rsidRPr="001B2F54">
        <w:rPr>
          <w:b/>
        </w:rPr>
        <w:t xml:space="preserve"> „Věc” uvede </w:t>
      </w:r>
      <w:r w:rsidRPr="00077902">
        <w:rPr>
          <w:b/>
        </w:rPr>
        <w:t>„Program THÉTA – Prokázání způsobilosti“. ID datové schránky TAČR: afth9xp.</w:t>
      </w:r>
    </w:p>
    <w:p w:rsidR="00077902" w:rsidRPr="00A26BA0" w:rsidRDefault="00077902" w:rsidP="00077902">
      <w:pPr>
        <w:rPr>
          <w:b/>
        </w:rPr>
      </w:pPr>
      <w:r>
        <w:t>V případě, že další účastník nemá datovou schránku, může čestné prohlášení poslat listině jako zahraniční další účastník.</w:t>
      </w:r>
    </w:p>
    <w:p w:rsidR="00BC5DC4" w:rsidRPr="00A26BA0" w:rsidRDefault="00BC5DC4" w:rsidP="0057770F">
      <w:pPr>
        <w:rPr>
          <w:b/>
        </w:rPr>
      </w:pPr>
      <w:r w:rsidRPr="00A26BA0">
        <w:rPr>
          <w:b/>
        </w:rPr>
        <w:t>VUT splňuje povinnost zveřejnit účetní závěrku tím, že vydává výroční zprávu o hospodaření.</w:t>
      </w:r>
      <w:r w:rsidR="00D32D3A" w:rsidRPr="00A26BA0">
        <w:rPr>
          <w:b/>
        </w:rPr>
        <w:t xml:space="preserve"> Způsobilost uchazeče VUT bude tedy automaticky za všechny projekty splněna. </w:t>
      </w:r>
    </w:p>
    <w:p w:rsidR="00E63B3F" w:rsidRPr="00A26BA0" w:rsidRDefault="00E63B3F" w:rsidP="0057770F">
      <w:pPr>
        <w:rPr>
          <w:b/>
        </w:rPr>
      </w:pPr>
    </w:p>
    <w:p w:rsidR="00E63B3F" w:rsidRPr="008F2375" w:rsidRDefault="00E63B3F" w:rsidP="00E63B3F">
      <w:pPr>
        <w:rPr>
          <w:b/>
          <w:color w:val="1F4E79" w:themeColor="accent1" w:themeShade="80"/>
          <w:sz w:val="28"/>
          <w:szCs w:val="28"/>
        </w:rPr>
      </w:pPr>
      <w:r w:rsidRPr="008F2375">
        <w:rPr>
          <w:b/>
          <w:color w:val="1F4E79" w:themeColor="accent1" w:themeShade="80"/>
          <w:sz w:val="28"/>
          <w:szCs w:val="28"/>
        </w:rPr>
        <w:t xml:space="preserve">Očekávané </w:t>
      </w:r>
      <w:r>
        <w:rPr>
          <w:b/>
          <w:color w:val="1F4E79" w:themeColor="accent1" w:themeShade="80"/>
          <w:sz w:val="28"/>
          <w:szCs w:val="28"/>
        </w:rPr>
        <w:t>hlavní výstupy/</w:t>
      </w:r>
      <w:r w:rsidRPr="008F2375">
        <w:rPr>
          <w:b/>
          <w:color w:val="1F4E79" w:themeColor="accent1" w:themeShade="80"/>
          <w:sz w:val="28"/>
          <w:szCs w:val="28"/>
        </w:rPr>
        <w:t xml:space="preserve">výsledky: </w:t>
      </w:r>
    </w:p>
    <w:tbl>
      <w:tblPr>
        <w:tblStyle w:val="Mkatabulky"/>
        <w:tblW w:w="0" w:type="auto"/>
        <w:jc w:val="center"/>
        <w:tblLook w:val="04A0" w:firstRow="1" w:lastRow="0" w:firstColumn="1" w:lastColumn="0" w:noHBand="0" w:noVBand="1"/>
      </w:tblPr>
      <w:tblGrid>
        <w:gridCol w:w="1238"/>
        <w:gridCol w:w="5987"/>
        <w:gridCol w:w="1134"/>
        <w:gridCol w:w="987"/>
      </w:tblGrid>
      <w:tr w:rsidR="009A2DA9" w:rsidTr="009A2DA9">
        <w:trPr>
          <w:jc w:val="center"/>
        </w:trPr>
        <w:tc>
          <w:tcPr>
            <w:tcW w:w="1238" w:type="dxa"/>
            <w:vMerge w:val="restart"/>
          </w:tcPr>
          <w:p w:rsidR="009A2DA9" w:rsidRDefault="009A2DA9" w:rsidP="009A2DA9">
            <w:pPr>
              <w:jc w:val="center"/>
              <w:rPr>
                <w:b/>
                <w:color w:val="1F4E79" w:themeColor="accent1" w:themeShade="80"/>
                <w:sz w:val="28"/>
                <w:szCs w:val="28"/>
              </w:rPr>
            </w:pPr>
            <w:r>
              <w:rPr>
                <w:b/>
                <w:color w:val="1F4E79" w:themeColor="accent1" w:themeShade="80"/>
                <w:sz w:val="28"/>
                <w:szCs w:val="28"/>
              </w:rPr>
              <w:t>Kód výsledku</w:t>
            </w:r>
          </w:p>
        </w:tc>
        <w:tc>
          <w:tcPr>
            <w:tcW w:w="5987" w:type="dxa"/>
            <w:vMerge w:val="restart"/>
            <w:vAlign w:val="center"/>
          </w:tcPr>
          <w:p w:rsidR="009A2DA9" w:rsidRDefault="009A2DA9" w:rsidP="009A2DA9">
            <w:pPr>
              <w:jc w:val="center"/>
              <w:rPr>
                <w:b/>
                <w:color w:val="1F4E79" w:themeColor="accent1" w:themeShade="80"/>
                <w:sz w:val="28"/>
                <w:szCs w:val="28"/>
              </w:rPr>
            </w:pPr>
            <w:r>
              <w:rPr>
                <w:b/>
                <w:color w:val="1F4E79" w:themeColor="accent1" w:themeShade="80"/>
                <w:sz w:val="28"/>
                <w:szCs w:val="28"/>
              </w:rPr>
              <w:t>Název výsledku</w:t>
            </w:r>
          </w:p>
        </w:tc>
        <w:tc>
          <w:tcPr>
            <w:tcW w:w="2121" w:type="dxa"/>
            <w:gridSpan w:val="2"/>
          </w:tcPr>
          <w:p w:rsidR="009A2DA9" w:rsidRDefault="009A2DA9" w:rsidP="009A2DA9">
            <w:pPr>
              <w:jc w:val="center"/>
              <w:rPr>
                <w:b/>
                <w:color w:val="1F4E79" w:themeColor="accent1" w:themeShade="80"/>
                <w:sz w:val="28"/>
                <w:szCs w:val="28"/>
              </w:rPr>
            </w:pPr>
            <w:r>
              <w:rPr>
                <w:b/>
                <w:color w:val="1F4E79" w:themeColor="accent1" w:themeShade="80"/>
                <w:sz w:val="28"/>
                <w:szCs w:val="28"/>
              </w:rPr>
              <w:t>Podprogram</w:t>
            </w:r>
          </w:p>
        </w:tc>
      </w:tr>
      <w:tr w:rsidR="009A2DA9" w:rsidTr="009A2DA9">
        <w:trPr>
          <w:jc w:val="center"/>
        </w:trPr>
        <w:tc>
          <w:tcPr>
            <w:tcW w:w="1238" w:type="dxa"/>
            <w:vMerge/>
          </w:tcPr>
          <w:p w:rsidR="009A2DA9" w:rsidRDefault="009A2DA9" w:rsidP="009A2DA9">
            <w:pPr>
              <w:jc w:val="center"/>
              <w:rPr>
                <w:b/>
                <w:color w:val="1F4E79" w:themeColor="accent1" w:themeShade="80"/>
                <w:sz w:val="28"/>
                <w:szCs w:val="28"/>
              </w:rPr>
            </w:pPr>
          </w:p>
        </w:tc>
        <w:tc>
          <w:tcPr>
            <w:tcW w:w="5987" w:type="dxa"/>
            <w:vMerge/>
          </w:tcPr>
          <w:p w:rsidR="009A2DA9" w:rsidRDefault="009A2DA9" w:rsidP="009A2DA9">
            <w:pPr>
              <w:jc w:val="center"/>
              <w:rPr>
                <w:b/>
                <w:color w:val="1F4E79" w:themeColor="accent1" w:themeShade="80"/>
                <w:sz w:val="28"/>
                <w:szCs w:val="28"/>
              </w:rPr>
            </w:pPr>
          </w:p>
        </w:tc>
        <w:tc>
          <w:tcPr>
            <w:tcW w:w="1134" w:type="dxa"/>
          </w:tcPr>
          <w:p w:rsidR="009A2DA9" w:rsidRDefault="009A2DA9" w:rsidP="009A2DA9">
            <w:pPr>
              <w:jc w:val="center"/>
              <w:rPr>
                <w:b/>
                <w:color w:val="1F4E79" w:themeColor="accent1" w:themeShade="80"/>
                <w:sz w:val="28"/>
                <w:szCs w:val="28"/>
              </w:rPr>
            </w:pPr>
            <w:r>
              <w:rPr>
                <w:b/>
                <w:color w:val="1F4E79" w:themeColor="accent1" w:themeShade="80"/>
                <w:sz w:val="28"/>
                <w:szCs w:val="28"/>
              </w:rPr>
              <w:t>1</w:t>
            </w:r>
          </w:p>
        </w:tc>
        <w:tc>
          <w:tcPr>
            <w:tcW w:w="987" w:type="dxa"/>
          </w:tcPr>
          <w:p w:rsidR="009A2DA9" w:rsidRDefault="009A2DA9" w:rsidP="009A2DA9">
            <w:pPr>
              <w:jc w:val="center"/>
              <w:rPr>
                <w:b/>
                <w:color w:val="1F4E79" w:themeColor="accent1" w:themeShade="80"/>
                <w:sz w:val="28"/>
                <w:szCs w:val="28"/>
              </w:rPr>
            </w:pPr>
            <w:r>
              <w:rPr>
                <w:b/>
                <w:color w:val="1F4E79" w:themeColor="accent1" w:themeShade="80"/>
                <w:sz w:val="28"/>
                <w:szCs w:val="28"/>
              </w:rPr>
              <w:t>2</w:t>
            </w:r>
          </w:p>
        </w:tc>
      </w:tr>
      <w:tr w:rsidR="009A2DA9" w:rsidTr="009A2DA9">
        <w:trPr>
          <w:jc w:val="center"/>
        </w:trPr>
        <w:tc>
          <w:tcPr>
            <w:tcW w:w="1238" w:type="dxa"/>
          </w:tcPr>
          <w:p w:rsidR="009A2DA9" w:rsidRPr="009A2DA9" w:rsidRDefault="009A2DA9" w:rsidP="009A2DA9">
            <w:pPr>
              <w:jc w:val="center"/>
            </w:pPr>
            <w:proofErr w:type="spellStart"/>
            <w:r w:rsidRPr="009A2DA9">
              <w:t>Fprum</w:t>
            </w:r>
            <w:proofErr w:type="spellEnd"/>
          </w:p>
        </w:tc>
        <w:tc>
          <w:tcPr>
            <w:tcW w:w="5987" w:type="dxa"/>
          </w:tcPr>
          <w:p w:rsidR="009A2DA9" w:rsidRPr="009A2DA9" w:rsidRDefault="009A2DA9" w:rsidP="0057770F">
            <w:r w:rsidRPr="009A2DA9">
              <w:t>Průmyslový vzor</w:t>
            </w:r>
          </w:p>
        </w:tc>
        <w:tc>
          <w:tcPr>
            <w:tcW w:w="1134" w:type="dxa"/>
          </w:tcPr>
          <w:p w:rsidR="009A2DA9" w:rsidRPr="009A2DA9" w:rsidRDefault="000E4DE5" w:rsidP="009A2DA9">
            <w:pPr>
              <w:jc w:val="center"/>
            </w:pPr>
            <w:r>
              <w:t>ANO</w:t>
            </w:r>
          </w:p>
        </w:tc>
        <w:tc>
          <w:tcPr>
            <w:tcW w:w="987" w:type="dxa"/>
          </w:tcPr>
          <w:p w:rsidR="009A2DA9" w:rsidRPr="009A2DA9" w:rsidRDefault="000E4DE5" w:rsidP="009A2DA9">
            <w:pPr>
              <w:jc w:val="center"/>
            </w:pPr>
            <w:r>
              <w:t>ANO</w:t>
            </w:r>
          </w:p>
        </w:tc>
      </w:tr>
      <w:tr w:rsidR="000E4DE5" w:rsidTr="009A2DA9">
        <w:trPr>
          <w:jc w:val="center"/>
        </w:trPr>
        <w:tc>
          <w:tcPr>
            <w:tcW w:w="1238" w:type="dxa"/>
          </w:tcPr>
          <w:p w:rsidR="000E4DE5" w:rsidRPr="009A2DA9" w:rsidRDefault="000E4DE5" w:rsidP="000E4DE5">
            <w:pPr>
              <w:jc w:val="center"/>
            </w:pPr>
            <w:proofErr w:type="spellStart"/>
            <w:r w:rsidRPr="009A2DA9">
              <w:t>Fuzit</w:t>
            </w:r>
            <w:proofErr w:type="spellEnd"/>
          </w:p>
        </w:tc>
        <w:tc>
          <w:tcPr>
            <w:tcW w:w="5987" w:type="dxa"/>
          </w:tcPr>
          <w:p w:rsidR="000E4DE5" w:rsidRPr="009A2DA9" w:rsidRDefault="000E4DE5" w:rsidP="000E4DE5">
            <w:r w:rsidRPr="009A2DA9">
              <w:t>Užitný vzor</w:t>
            </w:r>
          </w:p>
        </w:tc>
        <w:tc>
          <w:tcPr>
            <w:tcW w:w="1134" w:type="dxa"/>
          </w:tcPr>
          <w:p w:rsidR="000E4DE5" w:rsidRPr="009A2DA9" w:rsidRDefault="000E4DE5" w:rsidP="000E4DE5">
            <w:pPr>
              <w:jc w:val="center"/>
            </w:pPr>
            <w:r>
              <w:t>ANO</w:t>
            </w:r>
          </w:p>
        </w:tc>
        <w:tc>
          <w:tcPr>
            <w:tcW w:w="987" w:type="dxa"/>
          </w:tcPr>
          <w:p w:rsidR="000E4DE5" w:rsidRPr="009A2DA9" w:rsidRDefault="000E4DE5" w:rsidP="000E4DE5">
            <w:pPr>
              <w:jc w:val="center"/>
            </w:pPr>
            <w:r>
              <w:t>ANO</w:t>
            </w:r>
          </w:p>
        </w:tc>
      </w:tr>
      <w:tr w:rsidR="000E4DE5" w:rsidTr="009A2DA9">
        <w:trPr>
          <w:jc w:val="center"/>
        </w:trPr>
        <w:tc>
          <w:tcPr>
            <w:tcW w:w="1238" w:type="dxa"/>
          </w:tcPr>
          <w:p w:rsidR="000E4DE5" w:rsidRPr="009A2DA9" w:rsidRDefault="000E4DE5" w:rsidP="000E4DE5">
            <w:pPr>
              <w:jc w:val="center"/>
            </w:pPr>
            <w:proofErr w:type="spellStart"/>
            <w:r w:rsidRPr="009A2DA9">
              <w:t>Gprot</w:t>
            </w:r>
            <w:proofErr w:type="spellEnd"/>
          </w:p>
        </w:tc>
        <w:tc>
          <w:tcPr>
            <w:tcW w:w="5987" w:type="dxa"/>
          </w:tcPr>
          <w:p w:rsidR="000E4DE5" w:rsidRPr="009A2DA9" w:rsidRDefault="000E4DE5" w:rsidP="000E4DE5">
            <w:r w:rsidRPr="009A2DA9">
              <w:t>Prototyp</w:t>
            </w:r>
          </w:p>
        </w:tc>
        <w:tc>
          <w:tcPr>
            <w:tcW w:w="1134" w:type="dxa"/>
          </w:tcPr>
          <w:p w:rsidR="000E4DE5" w:rsidRPr="009A2DA9" w:rsidRDefault="000E4DE5" w:rsidP="000E4DE5">
            <w:pPr>
              <w:jc w:val="center"/>
            </w:pPr>
            <w:r>
              <w:t>ANO</w:t>
            </w:r>
          </w:p>
        </w:tc>
        <w:tc>
          <w:tcPr>
            <w:tcW w:w="987" w:type="dxa"/>
          </w:tcPr>
          <w:p w:rsidR="000E4DE5" w:rsidRPr="009A2DA9" w:rsidRDefault="000E4DE5" w:rsidP="000E4DE5">
            <w:pPr>
              <w:jc w:val="center"/>
            </w:pPr>
            <w:r>
              <w:t>ANO</w:t>
            </w:r>
          </w:p>
        </w:tc>
      </w:tr>
      <w:tr w:rsidR="000E4DE5" w:rsidTr="009A2DA9">
        <w:trPr>
          <w:jc w:val="center"/>
        </w:trPr>
        <w:tc>
          <w:tcPr>
            <w:tcW w:w="1238" w:type="dxa"/>
          </w:tcPr>
          <w:p w:rsidR="000E4DE5" w:rsidRPr="009A2DA9" w:rsidRDefault="000E4DE5" w:rsidP="000E4DE5">
            <w:pPr>
              <w:jc w:val="center"/>
            </w:pPr>
            <w:proofErr w:type="spellStart"/>
            <w:r w:rsidRPr="009A2DA9">
              <w:t>Gfunk</w:t>
            </w:r>
            <w:proofErr w:type="spellEnd"/>
          </w:p>
        </w:tc>
        <w:tc>
          <w:tcPr>
            <w:tcW w:w="5987" w:type="dxa"/>
          </w:tcPr>
          <w:p w:rsidR="000E4DE5" w:rsidRPr="009A2DA9" w:rsidRDefault="000E4DE5" w:rsidP="000E4DE5">
            <w:r w:rsidRPr="009A2DA9">
              <w:t>Funkční vzorek</w:t>
            </w:r>
          </w:p>
        </w:tc>
        <w:tc>
          <w:tcPr>
            <w:tcW w:w="1134" w:type="dxa"/>
          </w:tcPr>
          <w:p w:rsidR="000E4DE5" w:rsidRPr="009A2DA9" w:rsidRDefault="000E4DE5" w:rsidP="000E4DE5">
            <w:pPr>
              <w:jc w:val="center"/>
            </w:pPr>
            <w:r>
              <w:t>ANO</w:t>
            </w:r>
          </w:p>
        </w:tc>
        <w:tc>
          <w:tcPr>
            <w:tcW w:w="987" w:type="dxa"/>
          </w:tcPr>
          <w:p w:rsidR="000E4DE5" w:rsidRPr="009A2DA9" w:rsidRDefault="000E4DE5" w:rsidP="000E4DE5">
            <w:pPr>
              <w:jc w:val="center"/>
            </w:pPr>
            <w:r>
              <w:t>ANO</w:t>
            </w:r>
          </w:p>
        </w:tc>
      </w:tr>
      <w:tr w:rsidR="009A2DA9" w:rsidTr="009A2DA9">
        <w:trPr>
          <w:jc w:val="center"/>
        </w:trPr>
        <w:tc>
          <w:tcPr>
            <w:tcW w:w="1238" w:type="dxa"/>
          </w:tcPr>
          <w:p w:rsidR="009A2DA9" w:rsidRPr="009A2DA9" w:rsidRDefault="009A2DA9" w:rsidP="009A2DA9">
            <w:pPr>
              <w:jc w:val="center"/>
            </w:pPr>
            <w:proofErr w:type="spellStart"/>
            <w:r w:rsidRPr="009A2DA9">
              <w:t>Hkonc</w:t>
            </w:r>
            <w:proofErr w:type="spellEnd"/>
          </w:p>
        </w:tc>
        <w:tc>
          <w:tcPr>
            <w:tcW w:w="5987" w:type="dxa"/>
          </w:tcPr>
          <w:p w:rsidR="009A2DA9" w:rsidRPr="009A2DA9" w:rsidRDefault="009A2DA9" w:rsidP="0057770F">
            <w:r w:rsidRPr="009A2DA9">
              <w:t>Výsledky</w:t>
            </w:r>
            <w:r>
              <w:t xml:space="preserve"> promítnuté do schválených strategických a koncepčních dokumentů </w:t>
            </w:r>
            <w:proofErr w:type="spellStart"/>
            <w:r>
              <w:t>VaVaI</w:t>
            </w:r>
            <w:proofErr w:type="spellEnd"/>
            <w:r>
              <w:t xml:space="preserve"> orgánů státní nebo veřejné správy</w:t>
            </w:r>
          </w:p>
        </w:tc>
        <w:tc>
          <w:tcPr>
            <w:tcW w:w="1134" w:type="dxa"/>
          </w:tcPr>
          <w:p w:rsidR="009A2DA9" w:rsidRPr="009A2DA9" w:rsidRDefault="000E4DE5" w:rsidP="009A2DA9">
            <w:pPr>
              <w:jc w:val="center"/>
            </w:pPr>
            <w:r>
              <w:t>ANO</w:t>
            </w:r>
          </w:p>
        </w:tc>
        <w:tc>
          <w:tcPr>
            <w:tcW w:w="987" w:type="dxa"/>
          </w:tcPr>
          <w:p w:rsidR="009A2DA9" w:rsidRPr="009A2DA9" w:rsidRDefault="000E4DE5" w:rsidP="009A2DA9">
            <w:pPr>
              <w:jc w:val="center"/>
            </w:pPr>
            <w:r>
              <w:t>-</w:t>
            </w:r>
          </w:p>
        </w:tc>
      </w:tr>
      <w:tr w:rsidR="009A2DA9" w:rsidTr="009A2DA9">
        <w:trPr>
          <w:jc w:val="center"/>
        </w:trPr>
        <w:tc>
          <w:tcPr>
            <w:tcW w:w="1238" w:type="dxa"/>
          </w:tcPr>
          <w:p w:rsidR="009A2DA9" w:rsidRPr="009A2DA9" w:rsidRDefault="009A2DA9" w:rsidP="009A2DA9">
            <w:pPr>
              <w:jc w:val="center"/>
            </w:pPr>
            <w:proofErr w:type="spellStart"/>
            <w:r w:rsidRPr="009A2DA9">
              <w:t>Hneleg</w:t>
            </w:r>
            <w:proofErr w:type="spellEnd"/>
          </w:p>
        </w:tc>
        <w:tc>
          <w:tcPr>
            <w:tcW w:w="5987" w:type="dxa"/>
          </w:tcPr>
          <w:p w:rsidR="009A2DA9" w:rsidRPr="009A2DA9" w:rsidRDefault="009A2DA9" w:rsidP="0057770F">
            <w:r>
              <w:t>výsledky promítnuté do směrnic a předpisů nelegislativní povahy závazných v rámci kompetence příslušného poskytovatele</w:t>
            </w:r>
          </w:p>
        </w:tc>
        <w:tc>
          <w:tcPr>
            <w:tcW w:w="1134" w:type="dxa"/>
          </w:tcPr>
          <w:p w:rsidR="009A2DA9" w:rsidRPr="009A2DA9" w:rsidRDefault="000E4DE5" w:rsidP="009A2DA9">
            <w:pPr>
              <w:jc w:val="center"/>
            </w:pPr>
            <w:r>
              <w:t>ANO</w:t>
            </w:r>
          </w:p>
        </w:tc>
        <w:tc>
          <w:tcPr>
            <w:tcW w:w="987" w:type="dxa"/>
          </w:tcPr>
          <w:p w:rsidR="009A2DA9" w:rsidRPr="009A2DA9" w:rsidRDefault="000E4DE5" w:rsidP="009A2DA9">
            <w:pPr>
              <w:jc w:val="center"/>
            </w:pPr>
            <w:r>
              <w:t>-</w:t>
            </w:r>
          </w:p>
        </w:tc>
      </w:tr>
      <w:tr w:rsidR="009A2DA9" w:rsidTr="009A2DA9">
        <w:trPr>
          <w:jc w:val="center"/>
        </w:trPr>
        <w:tc>
          <w:tcPr>
            <w:tcW w:w="1238" w:type="dxa"/>
          </w:tcPr>
          <w:p w:rsidR="009A2DA9" w:rsidRPr="009A2DA9" w:rsidRDefault="009A2DA9" w:rsidP="009A2DA9">
            <w:pPr>
              <w:jc w:val="center"/>
            </w:pPr>
            <w:proofErr w:type="spellStart"/>
            <w:r w:rsidRPr="009A2DA9">
              <w:t>Nmap</w:t>
            </w:r>
            <w:proofErr w:type="spellEnd"/>
          </w:p>
        </w:tc>
        <w:tc>
          <w:tcPr>
            <w:tcW w:w="5987" w:type="dxa"/>
          </w:tcPr>
          <w:p w:rsidR="009A2DA9" w:rsidRPr="009A2DA9" w:rsidRDefault="009A2DA9" w:rsidP="0057770F">
            <w:r>
              <w:t>specializovaná mapa s odborným obsahem</w:t>
            </w:r>
          </w:p>
        </w:tc>
        <w:tc>
          <w:tcPr>
            <w:tcW w:w="1134" w:type="dxa"/>
          </w:tcPr>
          <w:p w:rsidR="009A2DA9" w:rsidRPr="009A2DA9" w:rsidRDefault="000E4DE5" w:rsidP="009A2DA9">
            <w:pPr>
              <w:jc w:val="center"/>
            </w:pPr>
            <w:r>
              <w:t>ANO</w:t>
            </w:r>
          </w:p>
        </w:tc>
        <w:tc>
          <w:tcPr>
            <w:tcW w:w="987" w:type="dxa"/>
          </w:tcPr>
          <w:p w:rsidR="009A2DA9" w:rsidRPr="009A2DA9" w:rsidRDefault="000E4DE5" w:rsidP="009A2DA9">
            <w:pPr>
              <w:jc w:val="center"/>
            </w:pPr>
            <w:r>
              <w:t>-</w:t>
            </w:r>
          </w:p>
        </w:tc>
      </w:tr>
      <w:tr w:rsidR="009A2DA9" w:rsidTr="009A2DA9">
        <w:trPr>
          <w:jc w:val="center"/>
        </w:trPr>
        <w:tc>
          <w:tcPr>
            <w:tcW w:w="1238" w:type="dxa"/>
          </w:tcPr>
          <w:p w:rsidR="009A2DA9" w:rsidRPr="009A2DA9" w:rsidRDefault="009A2DA9" w:rsidP="009A2DA9">
            <w:pPr>
              <w:jc w:val="center"/>
            </w:pPr>
            <w:proofErr w:type="spellStart"/>
            <w:r w:rsidRPr="009A2DA9">
              <w:t>NmetS</w:t>
            </w:r>
            <w:proofErr w:type="spellEnd"/>
          </w:p>
        </w:tc>
        <w:tc>
          <w:tcPr>
            <w:tcW w:w="5987" w:type="dxa"/>
          </w:tcPr>
          <w:p w:rsidR="009A2DA9" w:rsidRPr="009A2DA9" w:rsidRDefault="009A2DA9" w:rsidP="0057770F">
            <w:r>
              <w:t xml:space="preserve">metodika schválená příslušným orgánem státní správy, do jehož kompetence daná problematika spadá – povinnou přílohou je Formulář pro druh výsledku </w:t>
            </w:r>
            <w:proofErr w:type="spellStart"/>
            <w:r>
              <w:t>NmetS</w:t>
            </w:r>
            <w:proofErr w:type="spellEnd"/>
          </w:p>
        </w:tc>
        <w:tc>
          <w:tcPr>
            <w:tcW w:w="1134" w:type="dxa"/>
          </w:tcPr>
          <w:p w:rsidR="009A2DA9" w:rsidRPr="009A2DA9" w:rsidRDefault="000E4DE5" w:rsidP="009A2DA9">
            <w:pPr>
              <w:jc w:val="center"/>
            </w:pPr>
            <w:r>
              <w:t>ANO</w:t>
            </w:r>
          </w:p>
        </w:tc>
        <w:tc>
          <w:tcPr>
            <w:tcW w:w="987" w:type="dxa"/>
          </w:tcPr>
          <w:p w:rsidR="009A2DA9" w:rsidRPr="009A2DA9" w:rsidRDefault="000E4DE5" w:rsidP="009A2DA9">
            <w:pPr>
              <w:jc w:val="center"/>
            </w:pPr>
            <w:r>
              <w:t>-</w:t>
            </w:r>
          </w:p>
        </w:tc>
      </w:tr>
      <w:tr w:rsidR="009A2DA9" w:rsidTr="009A2DA9">
        <w:trPr>
          <w:jc w:val="center"/>
        </w:trPr>
        <w:tc>
          <w:tcPr>
            <w:tcW w:w="1238" w:type="dxa"/>
          </w:tcPr>
          <w:p w:rsidR="009A2DA9" w:rsidRPr="009A2DA9" w:rsidRDefault="009A2DA9" w:rsidP="009A2DA9">
            <w:pPr>
              <w:jc w:val="center"/>
            </w:pPr>
            <w:proofErr w:type="spellStart"/>
            <w:r w:rsidRPr="009A2DA9">
              <w:t>NmetC</w:t>
            </w:r>
            <w:proofErr w:type="spellEnd"/>
          </w:p>
        </w:tc>
        <w:tc>
          <w:tcPr>
            <w:tcW w:w="5987" w:type="dxa"/>
          </w:tcPr>
          <w:p w:rsidR="009A2DA9" w:rsidRPr="009A2DA9" w:rsidRDefault="009A2DA9" w:rsidP="0057770F">
            <w:r>
              <w:t>metodiky certifikované oprávněným orgánem</w:t>
            </w:r>
          </w:p>
        </w:tc>
        <w:tc>
          <w:tcPr>
            <w:tcW w:w="1134" w:type="dxa"/>
          </w:tcPr>
          <w:p w:rsidR="009A2DA9" w:rsidRPr="009A2DA9" w:rsidRDefault="000E4DE5" w:rsidP="009A2DA9">
            <w:pPr>
              <w:jc w:val="center"/>
            </w:pPr>
            <w:r>
              <w:t>ANO</w:t>
            </w:r>
          </w:p>
        </w:tc>
        <w:tc>
          <w:tcPr>
            <w:tcW w:w="987" w:type="dxa"/>
          </w:tcPr>
          <w:p w:rsidR="009A2DA9" w:rsidRPr="009A2DA9" w:rsidRDefault="000E4DE5" w:rsidP="009A2DA9">
            <w:pPr>
              <w:jc w:val="center"/>
            </w:pPr>
            <w:r>
              <w:t>-</w:t>
            </w:r>
          </w:p>
        </w:tc>
      </w:tr>
      <w:tr w:rsidR="009A2DA9" w:rsidTr="009A2DA9">
        <w:trPr>
          <w:jc w:val="center"/>
        </w:trPr>
        <w:tc>
          <w:tcPr>
            <w:tcW w:w="1238" w:type="dxa"/>
          </w:tcPr>
          <w:p w:rsidR="009A2DA9" w:rsidRPr="009A2DA9" w:rsidRDefault="009A2DA9" w:rsidP="009A2DA9">
            <w:pPr>
              <w:jc w:val="center"/>
            </w:pPr>
            <w:proofErr w:type="spellStart"/>
            <w:r w:rsidRPr="009A2DA9">
              <w:t>NmetA</w:t>
            </w:r>
            <w:proofErr w:type="spellEnd"/>
          </w:p>
        </w:tc>
        <w:tc>
          <w:tcPr>
            <w:tcW w:w="5987" w:type="dxa"/>
          </w:tcPr>
          <w:p w:rsidR="009A2DA9" w:rsidRPr="009A2DA9" w:rsidRDefault="009A2DA9" w:rsidP="0057770F">
            <w:r>
              <w:t>metodiky a postupy akreditované oprávněným orgánem</w:t>
            </w:r>
          </w:p>
        </w:tc>
        <w:tc>
          <w:tcPr>
            <w:tcW w:w="1134" w:type="dxa"/>
          </w:tcPr>
          <w:p w:rsidR="009A2DA9" w:rsidRPr="009A2DA9" w:rsidRDefault="000E4DE5" w:rsidP="009A2DA9">
            <w:pPr>
              <w:jc w:val="center"/>
            </w:pPr>
            <w:r>
              <w:t>ANO</w:t>
            </w:r>
          </w:p>
        </w:tc>
        <w:tc>
          <w:tcPr>
            <w:tcW w:w="987" w:type="dxa"/>
          </w:tcPr>
          <w:p w:rsidR="009A2DA9" w:rsidRPr="009A2DA9" w:rsidRDefault="000E4DE5" w:rsidP="009A2DA9">
            <w:pPr>
              <w:jc w:val="center"/>
            </w:pPr>
            <w:r>
              <w:t>-</w:t>
            </w:r>
          </w:p>
        </w:tc>
      </w:tr>
      <w:tr w:rsidR="000E4DE5" w:rsidTr="009A2DA9">
        <w:trPr>
          <w:jc w:val="center"/>
        </w:trPr>
        <w:tc>
          <w:tcPr>
            <w:tcW w:w="1238" w:type="dxa"/>
          </w:tcPr>
          <w:p w:rsidR="000E4DE5" w:rsidRPr="009A2DA9" w:rsidRDefault="000E4DE5" w:rsidP="000E4DE5">
            <w:pPr>
              <w:jc w:val="center"/>
            </w:pPr>
            <w:r w:rsidRPr="009A2DA9">
              <w:t>P</w:t>
            </w:r>
          </w:p>
        </w:tc>
        <w:tc>
          <w:tcPr>
            <w:tcW w:w="5987" w:type="dxa"/>
          </w:tcPr>
          <w:p w:rsidR="000E4DE5" w:rsidRPr="009A2DA9" w:rsidRDefault="000E4DE5" w:rsidP="000E4DE5">
            <w:r>
              <w:t>patent</w:t>
            </w:r>
          </w:p>
        </w:tc>
        <w:tc>
          <w:tcPr>
            <w:tcW w:w="1134" w:type="dxa"/>
          </w:tcPr>
          <w:p w:rsidR="000E4DE5" w:rsidRPr="009A2DA9" w:rsidRDefault="000E4DE5" w:rsidP="000E4DE5">
            <w:pPr>
              <w:jc w:val="center"/>
            </w:pPr>
            <w:r>
              <w:t>ANO</w:t>
            </w:r>
          </w:p>
        </w:tc>
        <w:tc>
          <w:tcPr>
            <w:tcW w:w="987" w:type="dxa"/>
          </w:tcPr>
          <w:p w:rsidR="000E4DE5" w:rsidRPr="009A2DA9" w:rsidRDefault="000E4DE5" w:rsidP="000E4DE5">
            <w:pPr>
              <w:jc w:val="center"/>
            </w:pPr>
            <w:r>
              <w:t>ANO</w:t>
            </w:r>
          </w:p>
        </w:tc>
      </w:tr>
      <w:tr w:rsidR="000E4DE5" w:rsidTr="009A2DA9">
        <w:trPr>
          <w:jc w:val="center"/>
        </w:trPr>
        <w:tc>
          <w:tcPr>
            <w:tcW w:w="1238" w:type="dxa"/>
          </w:tcPr>
          <w:p w:rsidR="000E4DE5" w:rsidRPr="009A2DA9" w:rsidRDefault="000E4DE5" w:rsidP="000E4DE5">
            <w:pPr>
              <w:jc w:val="center"/>
            </w:pPr>
            <w:r w:rsidRPr="009A2DA9">
              <w:lastRenderedPageBreak/>
              <w:t>R</w:t>
            </w:r>
          </w:p>
        </w:tc>
        <w:tc>
          <w:tcPr>
            <w:tcW w:w="5987" w:type="dxa"/>
          </w:tcPr>
          <w:p w:rsidR="000E4DE5" w:rsidRPr="009A2DA9" w:rsidRDefault="000E4DE5" w:rsidP="000E4DE5">
            <w:r>
              <w:t>software</w:t>
            </w:r>
          </w:p>
        </w:tc>
        <w:tc>
          <w:tcPr>
            <w:tcW w:w="1134" w:type="dxa"/>
          </w:tcPr>
          <w:p w:rsidR="000E4DE5" w:rsidRPr="009A2DA9" w:rsidRDefault="000E4DE5" w:rsidP="000E4DE5">
            <w:pPr>
              <w:jc w:val="center"/>
            </w:pPr>
            <w:r>
              <w:t>ANO</w:t>
            </w:r>
          </w:p>
        </w:tc>
        <w:tc>
          <w:tcPr>
            <w:tcW w:w="987" w:type="dxa"/>
          </w:tcPr>
          <w:p w:rsidR="000E4DE5" w:rsidRPr="009A2DA9" w:rsidRDefault="000E4DE5" w:rsidP="000E4DE5">
            <w:pPr>
              <w:jc w:val="center"/>
            </w:pPr>
            <w:r>
              <w:t>ANO</w:t>
            </w:r>
          </w:p>
        </w:tc>
      </w:tr>
      <w:tr w:rsidR="000E4DE5" w:rsidTr="009A2DA9">
        <w:trPr>
          <w:jc w:val="center"/>
        </w:trPr>
        <w:tc>
          <w:tcPr>
            <w:tcW w:w="1238" w:type="dxa"/>
          </w:tcPr>
          <w:p w:rsidR="000E4DE5" w:rsidRPr="009A2DA9" w:rsidRDefault="000E4DE5" w:rsidP="000E4DE5">
            <w:pPr>
              <w:jc w:val="center"/>
            </w:pPr>
            <w:proofErr w:type="spellStart"/>
            <w:r w:rsidRPr="009A2DA9">
              <w:t>Zpolop</w:t>
            </w:r>
            <w:proofErr w:type="spellEnd"/>
          </w:p>
        </w:tc>
        <w:tc>
          <w:tcPr>
            <w:tcW w:w="5987" w:type="dxa"/>
          </w:tcPr>
          <w:p w:rsidR="000E4DE5" w:rsidRPr="009A2DA9" w:rsidRDefault="000E4DE5" w:rsidP="000E4DE5">
            <w:r>
              <w:t>poloprovoz</w:t>
            </w:r>
          </w:p>
        </w:tc>
        <w:tc>
          <w:tcPr>
            <w:tcW w:w="1134" w:type="dxa"/>
          </w:tcPr>
          <w:p w:rsidR="000E4DE5" w:rsidRPr="009A2DA9" w:rsidRDefault="000E4DE5" w:rsidP="000E4DE5">
            <w:pPr>
              <w:jc w:val="center"/>
            </w:pPr>
            <w:r>
              <w:t>ANO</w:t>
            </w:r>
          </w:p>
        </w:tc>
        <w:tc>
          <w:tcPr>
            <w:tcW w:w="987" w:type="dxa"/>
          </w:tcPr>
          <w:p w:rsidR="000E4DE5" w:rsidRPr="009A2DA9" w:rsidRDefault="000E4DE5" w:rsidP="000E4DE5">
            <w:pPr>
              <w:jc w:val="center"/>
            </w:pPr>
            <w:r>
              <w:t>ANO</w:t>
            </w:r>
          </w:p>
        </w:tc>
      </w:tr>
      <w:tr w:rsidR="000E4DE5" w:rsidTr="009A2DA9">
        <w:trPr>
          <w:jc w:val="center"/>
        </w:trPr>
        <w:tc>
          <w:tcPr>
            <w:tcW w:w="1238" w:type="dxa"/>
          </w:tcPr>
          <w:p w:rsidR="000E4DE5" w:rsidRPr="009A2DA9" w:rsidRDefault="000E4DE5" w:rsidP="000E4DE5">
            <w:pPr>
              <w:jc w:val="center"/>
            </w:pPr>
            <w:proofErr w:type="spellStart"/>
            <w:r w:rsidRPr="009A2DA9">
              <w:t>Ztech</w:t>
            </w:r>
            <w:proofErr w:type="spellEnd"/>
          </w:p>
        </w:tc>
        <w:tc>
          <w:tcPr>
            <w:tcW w:w="5987" w:type="dxa"/>
          </w:tcPr>
          <w:p w:rsidR="000E4DE5" w:rsidRPr="009A2DA9" w:rsidRDefault="000E4DE5" w:rsidP="000E4DE5">
            <w:r>
              <w:t>Ověřená technologie</w:t>
            </w:r>
          </w:p>
        </w:tc>
        <w:tc>
          <w:tcPr>
            <w:tcW w:w="1134" w:type="dxa"/>
          </w:tcPr>
          <w:p w:rsidR="000E4DE5" w:rsidRPr="009A2DA9" w:rsidRDefault="000E4DE5" w:rsidP="000E4DE5">
            <w:pPr>
              <w:jc w:val="center"/>
            </w:pPr>
            <w:r>
              <w:t>ANO</w:t>
            </w:r>
          </w:p>
        </w:tc>
        <w:tc>
          <w:tcPr>
            <w:tcW w:w="987" w:type="dxa"/>
          </w:tcPr>
          <w:p w:rsidR="000E4DE5" w:rsidRPr="009A2DA9" w:rsidRDefault="000E4DE5" w:rsidP="000E4DE5">
            <w:pPr>
              <w:jc w:val="center"/>
            </w:pPr>
            <w:r>
              <w:t>ANO</w:t>
            </w:r>
          </w:p>
        </w:tc>
      </w:tr>
      <w:tr w:rsidR="000E4DE5" w:rsidTr="009A2DA9">
        <w:trPr>
          <w:jc w:val="center"/>
        </w:trPr>
        <w:tc>
          <w:tcPr>
            <w:tcW w:w="1238" w:type="dxa"/>
          </w:tcPr>
          <w:p w:rsidR="000E4DE5" w:rsidRPr="009A2DA9" w:rsidRDefault="000E4DE5" w:rsidP="000E4DE5">
            <w:pPr>
              <w:jc w:val="center"/>
            </w:pPr>
            <w:r w:rsidRPr="009A2DA9">
              <w:t>O</w:t>
            </w:r>
          </w:p>
        </w:tc>
        <w:tc>
          <w:tcPr>
            <w:tcW w:w="5987" w:type="dxa"/>
          </w:tcPr>
          <w:p w:rsidR="000E4DE5" w:rsidRPr="009A2DA9" w:rsidRDefault="000E4DE5" w:rsidP="000E4DE5">
            <w:r>
              <w:t>Ostatní výsledky</w:t>
            </w:r>
          </w:p>
        </w:tc>
        <w:tc>
          <w:tcPr>
            <w:tcW w:w="1134" w:type="dxa"/>
          </w:tcPr>
          <w:p w:rsidR="000E4DE5" w:rsidRPr="009A2DA9" w:rsidRDefault="000E4DE5" w:rsidP="000E4DE5">
            <w:pPr>
              <w:jc w:val="center"/>
            </w:pPr>
            <w:r>
              <w:t>ANO</w:t>
            </w:r>
          </w:p>
        </w:tc>
        <w:tc>
          <w:tcPr>
            <w:tcW w:w="987" w:type="dxa"/>
          </w:tcPr>
          <w:p w:rsidR="000E4DE5" w:rsidRPr="009A2DA9" w:rsidRDefault="000E4DE5" w:rsidP="000E4DE5">
            <w:pPr>
              <w:jc w:val="center"/>
            </w:pPr>
            <w:r>
              <w:t>ANO</w:t>
            </w:r>
          </w:p>
        </w:tc>
      </w:tr>
    </w:tbl>
    <w:p w:rsidR="009A2DA9" w:rsidRDefault="009A2DA9" w:rsidP="0057770F">
      <w:pPr>
        <w:rPr>
          <w:b/>
          <w:color w:val="1F4E79" w:themeColor="accent1" w:themeShade="80"/>
          <w:sz w:val="28"/>
          <w:szCs w:val="28"/>
        </w:rPr>
      </w:pPr>
    </w:p>
    <w:p w:rsidR="003206E0" w:rsidRDefault="003206E0" w:rsidP="0057770F">
      <w:pPr>
        <w:rPr>
          <w:b/>
          <w:color w:val="1F4E79" w:themeColor="accent1" w:themeShade="80"/>
          <w:sz w:val="28"/>
          <w:szCs w:val="28"/>
        </w:rPr>
      </w:pPr>
      <w:r w:rsidRPr="008F2375">
        <w:rPr>
          <w:b/>
          <w:color w:val="1F4E79" w:themeColor="accent1" w:themeShade="80"/>
          <w:sz w:val="28"/>
          <w:szCs w:val="28"/>
        </w:rPr>
        <w:t>Povinné přílohy:</w:t>
      </w:r>
    </w:p>
    <w:p w:rsidR="001B2F54" w:rsidRPr="001B2F54" w:rsidRDefault="001B2F54" w:rsidP="001B2F54">
      <w:pPr>
        <w:rPr>
          <w:b/>
        </w:rPr>
      </w:pPr>
      <w:r w:rsidRPr="001B2F54">
        <w:rPr>
          <w:b/>
        </w:rPr>
        <w:t xml:space="preserve">Podprogram 1 </w:t>
      </w:r>
    </w:p>
    <w:p w:rsidR="001B2F54" w:rsidRPr="00F84CD2" w:rsidRDefault="001B2F54" w:rsidP="001B2F54">
      <w:pPr>
        <w:pStyle w:val="Odstavecseseznamem"/>
        <w:numPr>
          <w:ilvl w:val="0"/>
          <w:numId w:val="40"/>
        </w:numPr>
      </w:pPr>
      <w:r w:rsidRPr="00F84CD2">
        <w:t>Uchazeči musí doložit povinnou přílohu ke každému plánovanému hlavnímu výsledku druhu:</w:t>
      </w:r>
    </w:p>
    <w:p w:rsidR="001B2F54" w:rsidRPr="00F84CD2" w:rsidRDefault="001B2F54" w:rsidP="001B2F54">
      <w:pPr>
        <w:pStyle w:val="Odstavecseseznamem"/>
        <w:numPr>
          <w:ilvl w:val="0"/>
          <w:numId w:val="39"/>
        </w:numPr>
      </w:pPr>
      <w:proofErr w:type="spellStart"/>
      <w:r w:rsidRPr="00F84CD2">
        <w:t>NmetS</w:t>
      </w:r>
      <w:proofErr w:type="spellEnd"/>
      <w:r w:rsidRPr="00F84CD2">
        <w:t xml:space="preserve"> – metodika schválená příslušným orgánem státní správy, do jehož kompetence daná problematika spadá: Formulář pro druh výsledku </w:t>
      </w:r>
      <w:proofErr w:type="spellStart"/>
      <w:r w:rsidRPr="00F84CD2">
        <w:t>NmetS</w:t>
      </w:r>
      <w:proofErr w:type="spellEnd"/>
      <w:r w:rsidRPr="00F84CD2">
        <w:t>.</w:t>
      </w:r>
    </w:p>
    <w:p w:rsidR="001B2F54" w:rsidRPr="00F84CD2" w:rsidRDefault="001B2F54" w:rsidP="001B2F54">
      <w:pPr>
        <w:pStyle w:val="Odstavecseseznamem"/>
        <w:numPr>
          <w:ilvl w:val="0"/>
          <w:numId w:val="39"/>
        </w:numPr>
      </w:pPr>
      <w:r w:rsidRPr="00F84CD2">
        <w:t>P – patent: patentová rešerše.</w:t>
      </w:r>
    </w:p>
    <w:p w:rsidR="001B2F54" w:rsidRPr="001B2F54" w:rsidRDefault="001B2F54" w:rsidP="001B2F54">
      <w:pPr>
        <w:rPr>
          <w:b/>
        </w:rPr>
      </w:pPr>
      <w:r w:rsidRPr="001B2F54">
        <w:rPr>
          <w:b/>
        </w:rPr>
        <w:t>Podprogram 2</w:t>
      </w:r>
    </w:p>
    <w:p w:rsidR="001B2F54" w:rsidRPr="00F84CD2" w:rsidRDefault="001B2F54" w:rsidP="00F84CD2">
      <w:pPr>
        <w:pStyle w:val="Odstavecseseznamem"/>
        <w:numPr>
          <w:ilvl w:val="0"/>
          <w:numId w:val="40"/>
        </w:numPr>
      </w:pPr>
      <w:r w:rsidRPr="00F84CD2">
        <w:t>Uchazeči musí doložit povinnou přílohu ke každému plánovanému hlavnímu výstupu/výsledku následovně:</w:t>
      </w:r>
    </w:p>
    <w:p w:rsidR="001B2F54" w:rsidRPr="00F84CD2" w:rsidRDefault="001B2F54" w:rsidP="001B2F54">
      <w:pPr>
        <w:pStyle w:val="Odstavecseseznamem"/>
        <w:numPr>
          <w:ilvl w:val="0"/>
          <w:numId w:val="41"/>
        </w:numPr>
      </w:pPr>
      <w:r w:rsidRPr="00F84CD2">
        <w:t>u výsledku druhu P – patent: patentovou rešerši</w:t>
      </w:r>
    </w:p>
    <w:p w:rsidR="00F84CD2" w:rsidRPr="00F84CD2" w:rsidRDefault="001B2F54" w:rsidP="001B2F54">
      <w:pPr>
        <w:pStyle w:val="Odstavecseseznamem"/>
        <w:numPr>
          <w:ilvl w:val="0"/>
          <w:numId w:val="41"/>
        </w:numPr>
      </w:pPr>
      <w:r w:rsidRPr="00F84CD2">
        <w:t>u výsledku druhu O – ostatní výsledky: odhad potenciálního využití;</w:t>
      </w:r>
    </w:p>
    <w:p w:rsidR="001B2F54" w:rsidRPr="00F84CD2" w:rsidRDefault="001B2F54" w:rsidP="001B2F54">
      <w:pPr>
        <w:pStyle w:val="Odstavecseseznamem"/>
        <w:numPr>
          <w:ilvl w:val="0"/>
          <w:numId w:val="41"/>
        </w:numPr>
      </w:pPr>
      <w:r w:rsidRPr="00F84CD2">
        <w:t>u všech dalších druhů výsledků: průzkum trhu</w:t>
      </w:r>
    </w:p>
    <w:p w:rsidR="00682062" w:rsidRDefault="001B2F54" w:rsidP="001B2F54">
      <w:pPr>
        <w:rPr>
          <w:b/>
        </w:rPr>
      </w:pPr>
      <w:r w:rsidRPr="001B2F54">
        <w:rPr>
          <w:b/>
        </w:rPr>
        <w:t>Povinné přílohy k výstupům/výsledkům musí být součástí návrhu projektu a nemohou být</w:t>
      </w:r>
      <w:r w:rsidR="00F84CD2">
        <w:rPr>
          <w:b/>
        </w:rPr>
        <w:t xml:space="preserve"> </w:t>
      </w:r>
      <w:r w:rsidRPr="001B2F54">
        <w:rPr>
          <w:b/>
        </w:rPr>
        <w:t>dodatečně doloženy</w:t>
      </w:r>
      <w:r w:rsidR="00F84CD2">
        <w:rPr>
          <w:b/>
        </w:rPr>
        <w:t>.</w:t>
      </w:r>
    </w:p>
    <w:p w:rsidR="000E4DE5" w:rsidRPr="00740BFC" w:rsidRDefault="000E4DE5" w:rsidP="001B2F54">
      <w:pPr>
        <w:rPr>
          <w:b/>
          <w:color w:val="FF0000"/>
        </w:rPr>
      </w:pPr>
      <w:r w:rsidRPr="00740BFC">
        <w:rPr>
          <w:b/>
          <w:color w:val="FF0000"/>
        </w:rPr>
        <w:t>Nově</w:t>
      </w:r>
      <w:r w:rsidR="00740BFC" w:rsidRPr="00740BFC">
        <w:rPr>
          <w:b/>
          <w:color w:val="FF0000"/>
        </w:rPr>
        <w:t>!</w:t>
      </w:r>
    </w:p>
    <w:p w:rsidR="00077902" w:rsidRPr="00740BFC" w:rsidRDefault="00740BFC" w:rsidP="008F2375">
      <w:pPr>
        <w:rPr>
          <w:b/>
          <w:color w:val="FF0000"/>
          <w:sz w:val="28"/>
          <w:szCs w:val="28"/>
        </w:rPr>
      </w:pPr>
      <w:r>
        <w:rPr>
          <w:color w:val="FF0000"/>
        </w:rPr>
        <w:t>U</w:t>
      </w:r>
      <w:r w:rsidR="000E4DE5" w:rsidRPr="00740BFC">
        <w:rPr>
          <w:color w:val="FF0000"/>
        </w:rPr>
        <w:t>chazeči musí být zapsaní v evidenci skutečných majitelů. Pokud uchazeč není zapsán v evidenci skutečných majitelů do termínu konce soutěžní lhůty, tedy do 27. 7. 2022, nepřijme TA ČR návrh projektu do veřejné soutěže.</w:t>
      </w:r>
    </w:p>
    <w:p w:rsidR="003206E0" w:rsidRDefault="00734728" w:rsidP="008F2375">
      <w:pPr>
        <w:rPr>
          <w:b/>
          <w:color w:val="1F4E79" w:themeColor="accent1" w:themeShade="80"/>
          <w:sz w:val="28"/>
          <w:szCs w:val="28"/>
        </w:rPr>
      </w:pPr>
      <w:r>
        <w:rPr>
          <w:b/>
          <w:color w:val="1F4E79" w:themeColor="accent1" w:themeShade="80"/>
          <w:sz w:val="28"/>
          <w:szCs w:val="28"/>
        </w:rPr>
        <w:t>Priority</w:t>
      </w:r>
      <w:r w:rsidR="003206E0" w:rsidRPr="008F2375">
        <w:rPr>
          <w:b/>
          <w:color w:val="1F4E79" w:themeColor="accent1" w:themeShade="80"/>
          <w:sz w:val="28"/>
          <w:szCs w:val="28"/>
        </w:rPr>
        <w:t>:</w:t>
      </w:r>
    </w:p>
    <w:p w:rsidR="007A363D" w:rsidRDefault="007A363D" w:rsidP="007A363D">
      <w:pPr>
        <w:pStyle w:val="Odstavecseseznamem"/>
        <w:ind w:left="0"/>
      </w:pPr>
      <w:r>
        <w:t xml:space="preserve">Zařazení návrhu projektu do správné kategorie dané klasifikace slouží pro statistické a analytické účely a pro hodnocení vynakládání veřejných prostředků v oblasti vědy, výzkumu a inovací. Klasifikace je povinným krokem v procesu podávání návrhu projektu. Správná klasifikace návrhu projektu má dopad i na správnost hodnoticího procesu. Volitelné cíle a obory (definované podle zaměření programu) jsou uvedeny v odkazech níže nebo v nápovědném systému ISTA. Všechny následující náležitosti se vyplňují v ISTA do záložky 3. PŘEDSTAVENÍ PROJEKTU, </w:t>
      </w:r>
    </w:p>
    <w:p w:rsidR="007A363D" w:rsidRDefault="007A363D" w:rsidP="007A363D">
      <w:pPr>
        <w:pStyle w:val="Odstavecseseznamem"/>
        <w:ind w:left="0"/>
      </w:pPr>
      <w:r>
        <w:t xml:space="preserve">Vymezení projektu: </w:t>
      </w:r>
    </w:p>
    <w:p w:rsidR="007342CF" w:rsidRDefault="007A363D" w:rsidP="007342CF">
      <w:pPr>
        <w:pStyle w:val="Odstavecseseznamem"/>
        <w:numPr>
          <w:ilvl w:val="0"/>
          <w:numId w:val="43"/>
        </w:numPr>
      </w:pPr>
      <w:r>
        <w:t xml:space="preserve">cíle Národních priorit orientovaného výzkumu, experimentálního vývoje a inovací (NPOV) – přehled cílů je uveden v ISTA; </w:t>
      </w:r>
    </w:p>
    <w:p w:rsidR="007342CF" w:rsidRDefault="007A363D" w:rsidP="007342CF">
      <w:pPr>
        <w:pStyle w:val="Odstavecseseznamem"/>
        <w:numPr>
          <w:ilvl w:val="0"/>
          <w:numId w:val="43"/>
        </w:numPr>
      </w:pPr>
      <w:r>
        <w:t xml:space="preserve">obory podle Centrální evidence projektů (CEP) a podle </w:t>
      </w:r>
      <w:proofErr w:type="spellStart"/>
      <w:r>
        <w:t>Fields</w:t>
      </w:r>
      <w:proofErr w:type="spellEnd"/>
      <w:r>
        <w:t xml:space="preserve"> </w:t>
      </w:r>
      <w:proofErr w:type="spellStart"/>
      <w:r>
        <w:t>of</w:t>
      </w:r>
      <w:proofErr w:type="spellEnd"/>
      <w:r>
        <w:t xml:space="preserve"> </w:t>
      </w:r>
      <w:proofErr w:type="spellStart"/>
      <w:r>
        <w:t>Research</w:t>
      </w:r>
      <w:proofErr w:type="spellEnd"/>
      <w:r>
        <w:t xml:space="preserve"> and </w:t>
      </w:r>
      <w:proofErr w:type="spellStart"/>
      <w:r>
        <w:t>Development</w:t>
      </w:r>
      <w:proofErr w:type="spellEnd"/>
      <w:r>
        <w:t xml:space="preserve"> – Oblasti výzkumu a vývoje (FORD). Zvolené obory CEP a FORD by měly být v souladu; </w:t>
      </w:r>
    </w:p>
    <w:p w:rsidR="009316A1" w:rsidRPr="009316A1" w:rsidRDefault="007A363D" w:rsidP="007342CF">
      <w:pPr>
        <w:pStyle w:val="Odstavecseseznamem"/>
        <w:numPr>
          <w:ilvl w:val="0"/>
          <w:numId w:val="43"/>
        </w:numPr>
      </w:pPr>
      <w:r>
        <w:t>domény výzkumné a inovační specializace Národní výzkumné a inovační strategie pro inteligentní specializaci České republiky (RIS III strategie).</w:t>
      </w:r>
    </w:p>
    <w:p w:rsidR="00C545CA" w:rsidRPr="009B5A27" w:rsidRDefault="00C545CA" w:rsidP="00734728">
      <w:pPr>
        <w:rPr>
          <w:b/>
          <w:color w:val="1F4E79" w:themeColor="accent1" w:themeShade="80"/>
          <w:sz w:val="28"/>
          <w:szCs w:val="28"/>
        </w:rPr>
      </w:pPr>
      <w:r w:rsidRPr="009B5A27">
        <w:rPr>
          <w:b/>
          <w:color w:val="1F4E79" w:themeColor="accent1" w:themeShade="80"/>
          <w:sz w:val="28"/>
          <w:szCs w:val="28"/>
        </w:rPr>
        <w:t>Hodnotící proces:</w:t>
      </w:r>
    </w:p>
    <w:p w:rsidR="00CE3CB8" w:rsidRPr="00740BFC" w:rsidRDefault="00740BFC" w:rsidP="00734728">
      <w:r w:rsidRPr="00740BFC">
        <w:t xml:space="preserve">Je popsán </w:t>
      </w:r>
      <w:hyperlink r:id="rId13" w:history="1">
        <w:r w:rsidRPr="00740BFC">
          <w:rPr>
            <w:rStyle w:val="Hypertextovodkaz"/>
          </w:rPr>
          <w:t>v příloze č. 4</w:t>
        </w:r>
      </w:hyperlink>
      <w:r w:rsidRPr="00740BFC">
        <w:t xml:space="preserve"> zadávací dokumentace a také na stránkách 18 – 20 zadávací dokumentace.</w:t>
      </w:r>
    </w:p>
    <w:sectPr w:rsidR="00CE3CB8" w:rsidRPr="00740BFC" w:rsidSect="00E63B3F">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7EA5BD"/>
    <w:multiLevelType w:val="hybridMultilevel"/>
    <w:tmpl w:val="7AE16B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0F8C9B"/>
    <w:multiLevelType w:val="hybridMultilevel"/>
    <w:tmpl w:val="85A7A4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1329D7"/>
    <w:multiLevelType w:val="hybridMultilevel"/>
    <w:tmpl w:val="4D3732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6500726"/>
    <w:multiLevelType w:val="hybridMultilevel"/>
    <w:tmpl w:val="0CA48B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15CE996"/>
    <w:multiLevelType w:val="hybridMultilevel"/>
    <w:tmpl w:val="01416C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E5A"/>
    <w:multiLevelType w:val="hybridMultilevel"/>
    <w:tmpl w:val="16F63A0A"/>
    <w:lvl w:ilvl="0" w:tplc="AE1AB298">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6" w15:restartNumberingAfterBreak="0">
    <w:nsid w:val="024D7D9B"/>
    <w:multiLevelType w:val="hybridMultilevel"/>
    <w:tmpl w:val="0BC83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32B3F75"/>
    <w:multiLevelType w:val="hybridMultilevel"/>
    <w:tmpl w:val="7A908780"/>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B470DF"/>
    <w:multiLevelType w:val="hybridMultilevel"/>
    <w:tmpl w:val="F41EA8E2"/>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7F57B60"/>
    <w:multiLevelType w:val="hybridMultilevel"/>
    <w:tmpl w:val="305C813E"/>
    <w:lvl w:ilvl="0" w:tplc="F6FCB40E">
      <w:numFmt w:val="bullet"/>
      <w:lvlText w:val="•"/>
      <w:lvlJc w:val="left"/>
      <w:pPr>
        <w:ind w:left="720" w:hanging="360"/>
      </w:pPr>
      <w:rPr>
        <w:rFonts w:ascii="Cambria" w:eastAsiaTheme="minorHAnsi"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E701BF"/>
    <w:multiLevelType w:val="hybridMultilevel"/>
    <w:tmpl w:val="723A7A66"/>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8FB07E9"/>
    <w:multiLevelType w:val="hybridMultilevel"/>
    <w:tmpl w:val="6E8C5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BB7636A"/>
    <w:multiLevelType w:val="hybridMultilevel"/>
    <w:tmpl w:val="54E08D28"/>
    <w:lvl w:ilvl="0" w:tplc="AE1AB298">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26A6F4C"/>
    <w:multiLevelType w:val="hybridMultilevel"/>
    <w:tmpl w:val="1EF88FA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2A9C24D"/>
    <w:multiLevelType w:val="hybridMultilevel"/>
    <w:tmpl w:val="9FAA40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5486635"/>
    <w:multiLevelType w:val="hybridMultilevel"/>
    <w:tmpl w:val="6B32C352"/>
    <w:lvl w:ilvl="0" w:tplc="B8C62A2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56D024F"/>
    <w:multiLevelType w:val="hybridMultilevel"/>
    <w:tmpl w:val="7D6E7FD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407552"/>
    <w:multiLevelType w:val="hybridMultilevel"/>
    <w:tmpl w:val="4B928374"/>
    <w:lvl w:ilvl="0" w:tplc="AE1AB298">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8" w15:restartNumberingAfterBreak="0">
    <w:nsid w:val="27F81899"/>
    <w:multiLevelType w:val="hybridMultilevel"/>
    <w:tmpl w:val="A29E06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8B56B73"/>
    <w:multiLevelType w:val="hybridMultilevel"/>
    <w:tmpl w:val="7DE437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B047B0D"/>
    <w:multiLevelType w:val="hybridMultilevel"/>
    <w:tmpl w:val="D86ADD7C"/>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C29563C"/>
    <w:multiLevelType w:val="hybridMultilevel"/>
    <w:tmpl w:val="EB4A2ADA"/>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419644E"/>
    <w:multiLevelType w:val="hybridMultilevel"/>
    <w:tmpl w:val="F3FC93B8"/>
    <w:lvl w:ilvl="0" w:tplc="F6FCB40E">
      <w:numFmt w:val="bullet"/>
      <w:lvlText w:val="•"/>
      <w:lvlJc w:val="left"/>
      <w:pPr>
        <w:ind w:left="720" w:hanging="360"/>
      </w:pPr>
      <w:rPr>
        <w:rFonts w:ascii="Cambria" w:eastAsiaTheme="minorHAnsi"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5D85771"/>
    <w:multiLevelType w:val="hybridMultilevel"/>
    <w:tmpl w:val="EACE8158"/>
    <w:lvl w:ilvl="0" w:tplc="EAA2C5C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C5B374C"/>
    <w:multiLevelType w:val="hybridMultilevel"/>
    <w:tmpl w:val="6EB44B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93641C"/>
    <w:multiLevelType w:val="hybridMultilevel"/>
    <w:tmpl w:val="98BABDA4"/>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9A86BF9"/>
    <w:multiLevelType w:val="hybridMultilevel"/>
    <w:tmpl w:val="4F364D1E"/>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7" w15:restartNumberingAfterBreak="0">
    <w:nsid w:val="4A6E26BE"/>
    <w:multiLevelType w:val="hybridMultilevel"/>
    <w:tmpl w:val="AEC688B6"/>
    <w:lvl w:ilvl="0" w:tplc="AE1AB298">
      <w:start w:val="1"/>
      <w:numFmt w:val="bullet"/>
      <w:lvlText w:val=""/>
      <w:lvlJc w:val="left"/>
      <w:pPr>
        <w:ind w:left="720" w:hanging="360"/>
      </w:pPr>
      <w:rPr>
        <w:rFonts w:ascii="Symbol" w:hAnsi="Symbol" w:hint="default"/>
      </w:rPr>
    </w:lvl>
    <w:lvl w:ilvl="1" w:tplc="0F1AD11C">
      <w:start w:val="16"/>
      <w:numFmt w:val="bullet"/>
      <w:lvlText w:val=""/>
      <w:lvlJc w:val="left"/>
      <w:pPr>
        <w:ind w:left="1440" w:hanging="360"/>
      </w:pPr>
      <w:rPr>
        <w:rFonts w:ascii="Symbol" w:eastAsiaTheme="minorHAnsi" w:hAnsi="Symbol"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B5D6BA9"/>
    <w:multiLevelType w:val="hybridMultilevel"/>
    <w:tmpl w:val="95AC8A5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4F2E5135"/>
    <w:multiLevelType w:val="hybridMultilevel"/>
    <w:tmpl w:val="311E98F2"/>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59578A5"/>
    <w:multiLevelType w:val="hybridMultilevel"/>
    <w:tmpl w:val="51047426"/>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631675A"/>
    <w:multiLevelType w:val="hybridMultilevel"/>
    <w:tmpl w:val="687E0A00"/>
    <w:lvl w:ilvl="0" w:tplc="F6FCB40E">
      <w:numFmt w:val="bullet"/>
      <w:lvlText w:val="•"/>
      <w:lvlJc w:val="left"/>
      <w:pPr>
        <w:ind w:left="720" w:hanging="360"/>
      </w:pPr>
      <w:rPr>
        <w:rFonts w:ascii="Cambria" w:eastAsiaTheme="minorHAnsi"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65C44BC"/>
    <w:multiLevelType w:val="hybridMultilevel"/>
    <w:tmpl w:val="65C838AA"/>
    <w:lvl w:ilvl="0" w:tplc="AE1AB298">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3" w15:restartNumberingAfterBreak="0">
    <w:nsid w:val="57BA0575"/>
    <w:multiLevelType w:val="hybridMultilevel"/>
    <w:tmpl w:val="A1F5C1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B3E19D8"/>
    <w:multiLevelType w:val="hybridMultilevel"/>
    <w:tmpl w:val="2CA8A556"/>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7C94999"/>
    <w:multiLevelType w:val="hybridMultilevel"/>
    <w:tmpl w:val="3FCE0E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BC35688"/>
    <w:multiLevelType w:val="hybridMultilevel"/>
    <w:tmpl w:val="AC1C1EF4"/>
    <w:lvl w:ilvl="0" w:tplc="AE1AB2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DD24E28"/>
    <w:multiLevelType w:val="hybridMultilevel"/>
    <w:tmpl w:val="3FA403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DDA0878"/>
    <w:multiLevelType w:val="hybridMultilevel"/>
    <w:tmpl w:val="0D3C0F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EA17230"/>
    <w:multiLevelType w:val="hybridMultilevel"/>
    <w:tmpl w:val="8C02CE02"/>
    <w:lvl w:ilvl="0" w:tplc="AE1AB298">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6EF03A86"/>
    <w:multiLevelType w:val="hybridMultilevel"/>
    <w:tmpl w:val="E4E01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00126BD"/>
    <w:multiLevelType w:val="hybridMultilevel"/>
    <w:tmpl w:val="A330038A"/>
    <w:lvl w:ilvl="0" w:tplc="00000066">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1063544"/>
    <w:multiLevelType w:val="hybridMultilevel"/>
    <w:tmpl w:val="B89A7E00"/>
    <w:lvl w:ilvl="0" w:tplc="B06C8D2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35"/>
  </w:num>
  <w:num w:numId="4">
    <w:abstractNumId w:val="16"/>
  </w:num>
  <w:num w:numId="5">
    <w:abstractNumId w:val="33"/>
  </w:num>
  <w:num w:numId="6">
    <w:abstractNumId w:val="2"/>
  </w:num>
  <w:num w:numId="7">
    <w:abstractNumId w:val="4"/>
  </w:num>
  <w:num w:numId="8">
    <w:abstractNumId w:val="14"/>
  </w:num>
  <w:num w:numId="9">
    <w:abstractNumId w:val="18"/>
  </w:num>
  <w:num w:numId="10">
    <w:abstractNumId w:val="3"/>
  </w:num>
  <w:num w:numId="11">
    <w:abstractNumId w:val="11"/>
  </w:num>
  <w:num w:numId="12">
    <w:abstractNumId w:val="22"/>
  </w:num>
  <w:num w:numId="13">
    <w:abstractNumId w:val="31"/>
  </w:num>
  <w:num w:numId="14">
    <w:abstractNumId w:val="9"/>
  </w:num>
  <w:num w:numId="15">
    <w:abstractNumId w:val="40"/>
  </w:num>
  <w:num w:numId="16">
    <w:abstractNumId w:val="29"/>
  </w:num>
  <w:num w:numId="17">
    <w:abstractNumId w:val="25"/>
  </w:num>
  <w:num w:numId="18">
    <w:abstractNumId w:val="42"/>
  </w:num>
  <w:num w:numId="19">
    <w:abstractNumId w:val="21"/>
  </w:num>
  <w:num w:numId="20">
    <w:abstractNumId w:val="15"/>
  </w:num>
  <w:num w:numId="21">
    <w:abstractNumId w:val="41"/>
  </w:num>
  <w:num w:numId="22">
    <w:abstractNumId w:val="13"/>
  </w:num>
  <w:num w:numId="23">
    <w:abstractNumId w:val="0"/>
  </w:num>
  <w:num w:numId="24">
    <w:abstractNumId w:val="1"/>
  </w:num>
  <w:num w:numId="25">
    <w:abstractNumId w:val="7"/>
  </w:num>
  <w:num w:numId="26">
    <w:abstractNumId w:val="30"/>
  </w:num>
  <w:num w:numId="27">
    <w:abstractNumId w:val="34"/>
  </w:num>
  <w:num w:numId="28">
    <w:abstractNumId w:val="23"/>
  </w:num>
  <w:num w:numId="29">
    <w:abstractNumId w:val="27"/>
  </w:num>
  <w:num w:numId="30">
    <w:abstractNumId w:val="39"/>
  </w:num>
  <w:num w:numId="31">
    <w:abstractNumId w:val="17"/>
  </w:num>
  <w:num w:numId="32">
    <w:abstractNumId w:val="12"/>
  </w:num>
  <w:num w:numId="33">
    <w:abstractNumId w:val="20"/>
  </w:num>
  <w:num w:numId="34">
    <w:abstractNumId w:val="8"/>
  </w:num>
  <w:num w:numId="35">
    <w:abstractNumId w:val="28"/>
  </w:num>
  <w:num w:numId="36">
    <w:abstractNumId w:val="37"/>
  </w:num>
  <w:num w:numId="37">
    <w:abstractNumId w:val="38"/>
  </w:num>
  <w:num w:numId="38">
    <w:abstractNumId w:val="6"/>
  </w:num>
  <w:num w:numId="39">
    <w:abstractNumId w:val="32"/>
  </w:num>
  <w:num w:numId="40">
    <w:abstractNumId w:val="24"/>
  </w:num>
  <w:num w:numId="41">
    <w:abstractNumId w:val="5"/>
  </w:num>
  <w:num w:numId="42">
    <w:abstractNumId w:val="36"/>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0F"/>
    <w:rsid w:val="00003606"/>
    <w:rsid w:val="0003296A"/>
    <w:rsid w:val="000446FC"/>
    <w:rsid w:val="000662D1"/>
    <w:rsid w:val="00077902"/>
    <w:rsid w:val="00097BCB"/>
    <w:rsid w:val="000A264A"/>
    <w:rsid w:val="000D771C"/>
    <w:rsid w:val="000E4DE5"/>
    <w:rsid w:val="00145603"/>
    <w:rsid w:val="00162A88"/>
    <w:rsid w:val="001B2F54"/>
    <w:rsid w:val="001C37FB"/>
    <w:rsid w:val="00210CA9"/>
    <w:rsid w:val="00240BAB"/>
    <w:rsid w:val="002F1541"/>
    <w:rsid w:val="003143FE"/>
    <w:rsid w:val="003206E0"/>
    <w:rsid w:val="00350D3D"/>
    <w:rsid w:val="00391934"/>
    <w:rsid w:val="003B2398"/>
    <w:rsid w:val="00421000"/>
    <w:rsid w:val="00474F9B"/>
    <w:rsid w:val="00481E77"/>
    <w:rsid w:val="004A1956"/>
    <w:rsid w:val="00563DF1"/>
    <w:rsid w:val="0057770F"/>
    <w:rsid w:val="005962B5"/>
    <w:rsid w:val="0061258A"/>
    <w:rsid w:val="006273F6"/>
    <w:rsid w:val="00682062"/>
    <w:rsid w:val="006B0020"/>
    <w:rsid w:val="007342CF"/>
    <w:rsid w:val="00734728"/>
    <w:rsid w:val="00740BFC"/>
    <w:rsid w:val="00777781"/>
    <w:rsid w:val="007A363D"/>
    <w:rsid w:val="007C2781"/>
    <w:rsid w:val="007D0697"/>
    <w:rsid w:val="007D1407"/>
    <w:rsid w:val="00832490"/>
    <w:rsid w:val="008747AC"/>
    <w:rsid w:val="008859D6"/>
    <w:rsid w:val="00894BEB"/>
    <w:rsid w:val="008F2375"/>
    <w:rsid w:val="009316A1"/>
    <w:rsid w:val="00942569"/>
    <w:rsid w:val="009A2DA9"/>
    <w:rsid w:val="009B5A27"/>
    <w:rsid w:val="00A24015"/>
    <w:rsid w:val="00A26BA0"/>
    <w:rsid w:val="00A5483D"/>
    <w:rsid w:val="00A65AED"/>
    <w:rsid w:val="00A70CA5"/>
    <w:rsid w:val="00A9023A"/>
    <w:rsid w:val="00AD48D4"/>
    <w:rsid w:val="00B34DF4"/>
    <w:rsid w:val="00B61C26"/>
    <w:rsid w:val="00BC5DC4"/>
    <w:rsid w:val="00BD1090"/>
    <w:rsid w:val="00C10D9F"/>
    <w:rsid w:val="00C2215E"/>
    <w:rsid w:val="00C545CA"/>
    <w:rsid w:val="00CD1210"/>
    <w:rsid w:val="00CD7938"/>
    <w:rsid w:val="00CE3CB8"/>
    <w:rsid w:val="00D32D3A"/>
    <w:rsid w:val="00D66035"/>
    <w:rsid w:val="00DA541B"/>
    <w:rsid w:val="00DB7603"/>
    <w:rsid w:val="00E11D70"/>
    <w:rsid w:val="00E13EC8"/>
    <w:rsid w:val="00E30C7E"/>
    <w:rsid w:val="00E35ACB"/>
    <w:rsid w:val="00E407E5"/>
    <w:rsid w:val="00E63B3F"/>
    <w:rsid w:val="00EA3292"/>
    <w:rsid w:val="00EB3EF0"/>
    <w:rsid w:val="00EE36B1"/>
    <w:rsid w:val="00F148C0"/>
    <w:rsid w:val="00F26DA9"/>
    <w:rsid w:val="00F2739C"/>
    <w:rsid w:val="00F36C80"/>
    <w:rsid w:val="00F52D4A"/>
    <w:rsid w:val="00F71B11"/>
    <w:rsid w:val="00F83284"/>
    <w:rsid w:val="00F84CD2"/>
    <w:rsid w:val="00FF17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FCB2E-4DBB-4516-BEAB-79E05E5F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ubheading-category1">
    <w:name w:val="subheading-category1"/>
    <w:basedOn w:val="Standardnpsmoodstavce"/>
    <w:rsid w:val="0057770F"/>
    <w:rPr>
      <w:caps/>
      <w:sz w:val="22"/>
      <w:szCs w:val="22"/>
    </w:rPr>
  </w:style>
  <w:style w:type="paragraph" w:styleId="Odstavecseseznamem">
    <w:name w:val="List Paragraph"/>
    <w:basedOn w:val="Normln"/>
    <w:uiPriority w:val="34"/>
    <w:qFormat/>
    <w:rsid w:val="0057770F"/>
    <w:pPr>
      <w:ind w:left="720"/>
      <w:contextualSpacing/>
    </w:pPr>
  </w:style>
  <w:style w:type="character" w:styleId="Siln">
    <w:name w:val="Strong"/>
    <w:basedOn w:val="Standardnpsmoodstavce"/>
    <w:uiPriority w:val="22"/>
    <w:qFormat/>
    <w:rsid w:val="0057770F"/>
    <w:rPr>
      <w:b/>
      <w:bCs/>
    </w:rPr>
  </w:style>
  <w:style w:type="character" w:styleId="Hypertextovodkaz">
    <w:name w:val="Hyperlink"/>
    <w:basedOn w:val="Standardnpsmoodstavce"/>
    <w:uiPriority w:val="99"/>
    <w:unhideWhenUsed/>
    <w:rsid w:val="00894BEB"/>
    <w:rPr>
      <w:color w:val="0563C1" w:themeColor="hyperlink"/>
      <w:u w:val="single"/>
    </w:rPr>
  </w:style>
  <w:style w:type="paragraph" w:customStyle="1" w:styleId="Default">
    <w:name w:val="Default"/>
    <w:rsid w:val="00097BCB"/>
    <w:pPr>
      <w:autoSpaceDE w:val="0"/>
      <w:autoSpaceDN w:val="0"/>
      <w:adjustRightInd w:val="0"/>
      <w:spacing w:after="0" w:line="240" w:lineRule="auto"/>
    </w:pPr>
    <w:rPr>
      <w:rFonts w:ascii="Cambria" w:hAnsi="Cambria" w:cs="Cambria"/>
      <w:color w:val="000000"/>
      <w:sz w:val="24"/>
      <w:szCs w:val="24"/>
    </w:rPr>
  </w:style>
  <w:style w:type="character" w:styleId="Sledovanodkaz">
    <w:name w:val="FollowedHyperlink"/>
    <w:basedOn w:val="Standardnpsmoodstavce"/>
    <w:uiPriority w:val="99"/>
    <w:semiHidden/>
    <w:unhideWhenUsed/>
    <w:rsid w:val="00350D3D"/>
    <w:rPr>
      <w:color w:val="954F72" w:themeColor="followedHyperlink"/>
      <w:u w:val="single"/>
    </w:rPr>
  </w:style>
  <w:style w:type="character" w:customStyle="1" w:styleId="UnresolvedMention">
    <w:name w:val="Unresolved Mention"/>
    <w:basedOn w:val="Standardnpsmoodstavce"/>
    <w:uiPriority w:val="99"/>
    <w:semiHidden/>
    <w:unhideWhenUsed/>
    <w:rsid w:val="002F1541"/>
    <w:rPr>
      <w:color w:val="605E5C"/>
      <w:shd w:val="clear" w:color="auto" w:fill="E1DFDD"/>
    </w:rPr>
  </w:style>
  <w:style w:type="table" w:styleId="Mkatabulky">
    <w:name w:val="Table Grid"/>
    <w:basedOn w:val="Normlntabulka"/>
    <w:uiPriority w:val="39"/>
    <w:rsid w:val="009A2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kovam@vutbr.cz" TargetMode="External"/><Relationship Id="rId13" Type="http://schemas.openxmlformats.org/officeDocument/2006/relationships/hyperlink" Target="https://www.tacr.cz/wp-content/uploads/documents/2022/06/01/1654084720_P%C5%99%C3%ADloha%20%C4%8D.%204%20%E2%80%93%20Hodnotic%C3%AD%20proces.pdf" TargetMode="External"/><Relationship Id="rId3" Type="http://schemas.openxmlformats.org/officeDocument/2006/relationships/styles" Target="styles.xml"/><Relationship Id="rId7" Type="http://schemas.openxmlformats.org/officeDocument/2006/relationships/hyperlink" Target="mailto:legatova@vutbr.cz" TargetMode="External"/><Relationship Id="rId12" Type="http://schemas.openxmlformats.org/officeDocument/2006/relationships/hyperlink" Target="https://ista.tacr.cz/ISTA/action/Login/?actionId=4943457751884159&amp;step=0&amp;ts=1570697584751&amp;hash=B47FtK45KaETl6JXIn2iFQ==&amp;nbl=tr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acr.cz/wp-content/uploads/documents/2022/06/01/1654072588_P%C5%99iloha%20%C4%8D.%202_Specifikace%20jednotliv%C3%BDch%20podprogram%C5%AF.pdf" TargetMode="External"/><Relationship Id="rId11" Type="http://schemas.openxmlformats.org/officeDocument/2006/relationships/hyperlink" Target="https://www.tacr.cz/wp-content/uploads/documents/2022/06/01/1654072732_P%C5%99iloha%20%C4%8D.%203_Aplika%C4%8Dn%C3%AD%20garant%20v%20podprogramu%20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acr.cz/soutez/program-theta/pata-verejna-soutez-4/" TargetMode="External"/><Relationship Id="rId4" Type="http://schemas.openxmlformats.org/officeDocument/2006/relationships/settings" Target="settings.xml"/><Relationship Id="rId9" Type="http://schemas.openxmlformats.org/officeDocument/2006/relationships/hyperlink" Target="mailto:saskova@vutbr.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633E6-0F0B-4E4B-A492-2F525A2CF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1168</Words>
  <Characters>6894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Legátová Martina</dc:creator>
  <cp:keywords/>
  <dc:description/>
  <cp:lastModifiedBy>Vavrečková Eva (233793)</cp:lastModifiedBy>
  <cp:revision>2</cp:revision>
  <dcterms:created xsi:type="dcterms:W3CDTF">2022-06-03T10:31:00Z</dcterms:created>
  <dcterms:modified xsi:type="dcterms:W3CDTF">2022-06-03T10:31:00Z</dcterms:modified>
</cp:coreProperties>
</file>