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0F" w:rsidRPr="00097BCB" w:rsidRDefault="00450019" w:rsidP="00097BCB">
      <w:pPr>
        <w:rPr>
          <w:b/>
          <w:color w:val="2F5496" w:themeColor="accent5" w:themeShade="BF"/>
          <w:sz w:val="32"/>
          <w:szCs w:val="32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6</w:t>
      </w:r>
      <w:r w:rsidR="00097BCB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. veřejná soutěž </w:t>
      </w:r>
      <w:r w:rsidR="00097BCB" w:rsidRPr="00097BCB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Program na podporu aplikovaného výzkumu, experimentálního vývoje a inovací v oblasti životního prostředí – Prostředí pro život</w:t>
      </w:r>
    </w:p>
    <w:p w:rsidR="00097BCB" w:rsidRDefault="00097BCB" w:rsidP="0057770F">
      <w:pPr>
        <w:rPr>
          <w:b/>
        </w:rPr>
      </w:pPr>
    </w:p>
    <w:p w:rsidR="00097BCB" w:rsidRDefault="00097BCB" w:rsidP="00097BCB">
      <w:pPr>
        <w:rPr>
          <w:rFonts w:cstheme="minorHAnsi"/>
          <w:b/>
        </w:rPr>
      </w:pPr>
      <w:r w:rsidRPr="009660DC">
        <w:rPr>
          <w:rFonts w:cstheme="minorHAnsi"/>
          <w:b/>
        </w:rPr>
        <w:t>Podprogram 1- Operativní výzkum ve veřejném zájmu</w:t>
      </w:r>
    </w:p>
    <w:p w:rsidR="00450019" w:rsidRPr="009660DC" w:rsidRDefault="00450019" w:rsidP="00450019">
      <w:pPr>
        <w:rPr>
          <w:rFonts w:cstheme="minorHAnsi"/>
          <w:b/>
        </w:rPr>
      </w:pPr>
      <w:r w:rsidRPr="00450019">
        <w:rPr>
          <w:rFonts w:cstheme="minorHAnsi"/>
          <w:b/>
        </w:rPr>
        <w:t xml:space="preserve">Podprogram 2 - </w:t>
      </w:r>
      <w:proofErr w:type="spellStart"/>
      <w:r w:rsidRPr="00450019">
        <w:rPr>
          <w:rFonts w:cstheme="minorHAnsi"/>
          <w:b/>
        </w:rPr>
        <w:t>Ekoinovace</w:t>
      </w:r>
      <w:proofErr w:type="spellEnd"/>
      <w:r w:rsidRPr="00450019">
        <w:rPr>
          <w:rFonts w:cstheme="minorHAnsi"/>
          <w:b/>
        </w:rPr>
        <w:t>, technologie a postupy pro ochranu</w:t>
      </w:r>
      <w:r>
        <w:rPr>
          <w:rFonts w:cstheme="minorHAnsi"/>
          <w:b/>
        </w:rPr>
        <w:t xml:space="preserve"> </w:t>
      </w:r>
      <w:r w:rsidRPr="00450019">
        <w:rPr>
          <w:rFonts w:cstheme="minorHAnsi"/>
          <w:b/>
        </w:rPr>
        <w:t>životního prostředí</w:t>
      </w:r>
    </w:p>
    <w:p w:rsidR="00097BCB" w:rsidRPr="009660DC" w:rsidRDefault="00097BCB" w:rsidP="0057770F">
      <w:pPr>
        <w:rPr>
          <w:rFonts w:cstheme="minorHAnsi"/>
          <w:b/>
        </w:rPr>
      </w:pPr>
    </w:p>
    <w:p w:rsidR="0057770F" w:rsidRPr="009660DC" w:rsidRDefault="0057770F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Důležité termíny:</w:t>
      </w:r>
    </w:p>
    <w:p w:rsidR="0057770F" w:rsidRPr="009660DC" w:rsidRDefault="0057770F" w:rsidP="007C2781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 xml:space="preserve">Soutěžní lhůta začíná: </w:t>
      </w:r>
      <w:r w:rsidR="00AD3531">
        <w:rPr>
          <w:rFonts w:cstheme="minorHAnsi"/>
          <w:b/>
        </w:rPr>
        <w:t>30. 6. 2022</w:t>
      </w:r>
    </w:p>
    <w:p w:rsidR="0057770F" w:rsidRPr="009660DC" w:rsidRDefault="0057770F" w:rsidP="007C2781">
      <w:pPr>
        <w:spacing w:line="240" w:lineRule="auto"/>
        <w:rPr>
          <w:rFonts w:cstheme="minorHAnsi"/>
        </w:rPr>
      </w:pPr>
      <w:r w:rsidRPr="009660DC">
        <w:rPr>
          <w:rFonts w:cstheme="minorHAnsi"/>
        </w:rPr>
        <w:t xml:space="preserve">Soutěžní lhůta končí: </w:t>
      </w:r>
      <w:r w:rsidR="00AD3531">
        <w:rPr>
          <w:rFonts w:cstheme="minorHAnsi"/>
          <w:b/>
        </w:rPr>
        <w:t>14. 9. 2022</w:t>
      </w:r>
      <w:r w:rsidRPr="009660DC">
        <w:rPr>
          <w:rFonts w:cstheme="minorHAnsi"/>
        </w:rPr>
        <w:t xml:space="preserve"> do 1</w:t>
      </w:r>
      <w:r w:rsidR="00A24015" w:rsidRPr="009660DC">
        <w:rPr>
          <w:rFonts w:cstheme="minorHAnsi"/>
        </w:rPr>
        <w:t>6</w:t>
      </w:r>
      <w:r w:rsidRPr="009660DC">
        <w:rPr>
          <w:rFonts w:cstheme="minorHAnsi"/>
        </w:rPr>
        <w:t xml:space="preserve">.30 pro podání projektu; </w:t>
      </w:r>
    </w:p>
    <w:p w:rsidR="009A6497" w:rsidRPr="009660DC" w:rsidRDefault="0057770F" w:rsidP="00B723D0">
      <w:pPr>
        <w:spacing w:line="240" w:lineRule="auto"/>
        <w:ind w:left="2937"/>
        <w:rPr>
          <w:rFonts w:cstheme="minorHAnsi"/>
        </w:rPr>
      </w:pPr>
      <w:r w:rsidRPr="009660DC">
        <w:rPr>
          <w:rFonts w:cstheme="minorHAnsi"/>
        </w:rPr>
        <w:t>do 23.59 pro zaslání Potvrzení podání elektronického návrhu</w:t>
      </w:r>
      <w:r w:rsidR="00FD6332" w:rsidRPr="009660DC">
        <w:rPr>
          <w:rFonts w:cstheme="minorHAnsi"/>
        </w:rPr>
        <w:t xml:space="preserve"> v datovém poli „Věc“ má být uvedeno „</w:t>
      </w:r>
      <w:r w:rsidR="00B723D0" w:rsidRPr="009660DC">
        <w:rPr>
          <w:rFonts w:cstheme="minorHAnsi"/>
        </w:rPr>
        <w:t xml:space="preserve">Program Prostředí pro život” – Potvrzení podání“ </w:t>
      </w:r>
      <w:r w:rsidRPr="009660DC">
        <w:rPr>
          <w:rFonts w:cstheme="minorHAnsi"/>
        </w:rPr>
        <w:t>a  potvrzení způsobilosti uchazeče</w:t>
      </w:r>
      <w:r w:rsidR="009A6497" w:rsidRPr="009660DC">
        <w:rPr>
          <w:rFonts w:cstheme="minorHAnsi"/>
        </w:rPr>
        <w:t xml:space="preserve"> (ID datové schránky TA ČR: afth9xp.)</w:t>
      </w:r>
    </w:p>
    <w:p w:rsidR="0057770F" w:rsidRPr="009660DC" w:rsidRDefault="0057770F" w:rsidP="007C2781">
      <w:pPr>
        <w:spacing w:line="240" w:lineRule="auto"/>
        <w:ind w:left="2937"/>
        <w:rPr>
          <w:rFonts w:cstheme="minorHAnsi"/>
        </w:rPr>
      </w:pPr>
    </w:p>
    <w:p w:rsidR="00894BEB" w:rsidRPr="009660DC" w:rsidRDefault="00894BEB" w:rsidP="007C2781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>Vyhlášení výsledků soutěže:</w:t>
      </w:r>
      <w:r w:rsidRPr="009660DC">
        <w:rPr>
          <w:rFonts w:cstheme="minorHAnsi"/>
          <w:b/>
        </w:rPr>
        <w:t xml:space="preserve"> do </w:t>
      </w:r>
      <w:r w:rsidR="009A6497" w:rsidRPr="009660DC">
        <w:rPr>
          <w:rFonts w:cstheme="minorHAnsi"/>
          <w:b/>
        </w:rPr>
        <w:t xml:space="preserve">31. </w:t>
      </w:r>
      <w:r w:rsidR="00AD3531">
        <w:rPr>
          <w:rFonts w:cstheme="minorHAnsi"/>
          <w:b/>
        </w:rPr>
        <w:t>3</w:t>
      </w:r>
      <w:r w:rsidR="00CD1210" w:rsidRPr="009660DC">
        <w:rPr>
          <w:rFonts w:cstheme="minorHAnsi"/>
          <w:b/>
        </w:rPr>
        <w:t>.</w:t>
      </w:r>
      <w:r w:rsidRPr="009660DC">
        <w:rPr>
          <w:rFonts w:cstheme="minorHAnsi"/>
          <w:b/>
        </w:rPr>
        <w:t xml:space="preserve"> 202</w:t>
      </w:r>
      <w:r w:rsidR="00AD3531">
        <w:rPr>
          <w:rFonts w:cstheme="minorHAnsi"/>
          <w:b/>
        </w:rPr>
        <w:t>3</w:t>
      </w:r>
    </w:p>
    <w:p w:rsidR="00894BEB" w:rsidRPr="009660DC" w:rsidRDefault="00894BEB" w:rsidP="007C2781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>Zahájení řešení projektu:</w:t>
      </w:r>
      <w:r w:rsidRPr="009660DC">
        <w:rPr>
          <w:rFonts w:cstheme="minorHAnsi"/>
          <w:b/>
        </w:rPr>
        <w:t xml:space="preserve"> </w:t>
      </w:r>
      <w:r w:rsidRPr="00AD3531">
        <w:rPr>
          <w:rFonts w:cstheme="minorHAnsi"/>
          <w:b/>
        </w:rPr>
        <w:t xml:space="preserve">1. </w:t>
      </w:r>
      <w:r w:rsidR="00AD3531" w:rsidRPr="00AD3531">
        <w:rPr>
          <w:rFonts w:cstheme="minorHAnsi"/>
          <w:b/>
        </w:rPr>
        <w:t>4</w:t>
      </w:r>
      <w:r w:rsidRPr="00AD3531">
        <w:rPr>
          <w:rFonts w:cstheme="minorHAnsi"/>
          <w:b/>
        </w:rPr>
        <w:t xml:space="preserve">. – 1. </w:t>
      </w:r>
      <w:r w:rsidR="00AD3531" w:rsidRPr="00AD3531">
        <w:rPr>
          <w:rFonts w:cstheme="minorHAnsi"/>
          <w:b/>
        </w:rPr>
        <w:t>6</w:t>
      </w:r>
      <w:r w:rsidRPr="00AD3531">
        <w:rPr>
          <w:rFonts w:cstheme="minorHAnsi"/>
          <w:b/>
        </w:rPr>
        <w:t>. 202</w:t>
      </w:r>
      <w:r w:rsidR="00AD3531" w:rsidRPr="00AD3531">
        <w:rPr>
          <w:rFonts w:cstheme="minorHAnsi"/>
          <w:b/>
        </w:rPr>
        <w:t>3</w:t>
      </w:r>
    </w:p>
    <w:p w:rsidR="00CD1210" w:rsidRDefault="00CD1210" w:rsidP="00CD1210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</w:rPr>
        <w:t>Délka řešení projektu:</w:t>
      </w:r>
      <w:r w:rsidR="00AD3531">
        <w:rPr>
          <w:rFonts w:cstheme="minorHAnsi"/>
        </w:rPr>
        <w:t xml:space="preserve"> </w:t>
      </w:r>
      <w:r w:rsidR="00AD3531">
        <w:rPr>
          <w:rFonts w:cstheme="minorHAnsi"/>
        </w:rPr>
        <w:tab/>
      </w:r>
      <w:r w:rsidR="00AD3531" w:rsidRPr="00AD3531">
        <w:rPr>
          <w:rFonts w:cstheme="minorHAnsi"/>
          <w:b/>
        </w:rPr>
        <w:t>PP1</w:t>
      </w:r>
      <w:r w:rsidR="00AD3531">
        <w:rPr>
          <w:rFonts w:cstheme="minorHAnsi"/>
        </w:rPr>
        <w:t xml:space="preserve"> - </w:t>
      </w:r>
      <w:r w:rsidRPr="009660DC">
        <w:rPr>
          <w:rFonts w:cstheme="minorHAnsi"/>
          <w:b/>
        </w:rPr>
        <w:t xml:space="preserve"> 12 – 36 měsíců</w:t>
      </w:r>
    </w:p>
    <w:p w:rsidR="00AD3531" w:rsidRPr="009660DC" w:rsidRDefault="00AD3531" w:rsidP="00CD121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PP2 – 24 – 33 měsíců</w:t>
      </w:r>
    </w:p>
    <w:p w:rsidR="00F3281D" w:rsidRPr="00AD3531" w:rsidRDefault="00F3281D" w:rsidP="007C2781">
      <w:pPr>
        <w:spacing w:line="240" w:lineRule="auto"/>
        <w:rPr>
          <w:rFonts w:cstheme="minorHAnsi"/>
          <w:b/>
          <w:highlight w:val="yellow"/>
        </w:rPr>
      </w:pPr>
      <w:r w:rsidRPr="009660DC">
        <w:rPr>
          <w:rFonts w:cstheme="minorHAnsi"/>
        </w:rPr>
        <w:t xml:space="preserve">Nejzazší termín ukončení řešení </w:t>
      </w:r>
      <w:r w:rsidRPr="00AD3531">
        <w:rPr>
          <w:rFonts w:cstheme="minorHAnsi"/>
        </w:rPr>
        <w:t>projektu:</w:t>
      </w:r>
      <w:r w:rsidR="00AD3531" w:rsidRPr="00AD3531">
        <w:rPr>
          <w:rFonts w:cstheme="minorHAnsi"/>
        </w:rPr>
        <w:t xml:space="preserve"> </w:t>
      </w:r>
      <w:r w:rsidR="00AD3531" w:rsidRPr="00AD3531">
        <w:rPr>
          <w:rFonts w:cstheme="minorHAnsi"/>
        </w:rPr>
        <w:tab/>
      </w:r>
      <w:r w:rsidR="00AD3531" w:rsidRPr="00AD3531">
        <w:rPr>
          <w:rFonts w:cstheme="minorHAnsi"/>
          <w:b/>
        </w:rPr>
        <w:t>PP1</w:t>
      </w:r>
      <w:r w:rsidR="00AD3531">
        <w:rPr>
          <w:rFonts w:cstheme="minorHAnsi"/>
          <w:b/>
        </w:rPr>
        <w:t xml:space="preserve"> - </w:t>
      </w:r>
      <w:r w:rsidR="00AD3531" w:rsidRPr="00AD3531">
        <w:rPr>
          <w:rFonts w:cstheme="minorHAnsi"/>
          <w:b/>
        </w:rPr>
        <w:t>březen 2026</w:t>
      </w:r>
    </w:p>
    <w:p w:rsidR="00AD3531" w:rsidRPr="009660DC" w:rsidRDefault="00AD3531" w:rsidP="007C2781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PP2-  prosinec 2025</w:t>
      </w:r>
    </w:p>
    <w:p w:rsidR="009A6497" w:rsidRPr="009660DC" w:rsidRDefault="009A6497" w:rsidP="009A6497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Kontaktní osoby:</w:t>
      </w:r>
    </w:p>
    <w:p w:rsidR="009A6497" w:rsidRPr="009660DC" w:rsidRDefault="009A6497" w:rsidP="009A6497">
      <w:pPr>
        <w:rPr>
          <w:rFonts w:cstheme="minorHAnsi"/>
          <w:b/>
        </w:rPr>
      </w:pPr>
      <w:r w:rsidRPr="009660DC">
        <w:rPr>
          <w:rFonts w:cstheme="minorHAnsi"/>
          <w:b/>
        </w:rPr>
        <w:t>Soutěž TAČR Éta na VUT Brno – Ing. Martina Legátová (</w:t>
      </w:r>
      <w:hyperlink r:id="rId5" w:history="1">
        <w:r w:rsidR="000E682C" w:rsidRPr="009660DC">
          <w:rPr>
            <w:rStyle w:val="Hypertextovodkaz"/>
            <w:rFonts w:cstheme="minorHAnsi"/>
            <w:b/>
          </w:rPr>
          <w:t>legatova@vutbr.cz</w:t>
        </w:r>
      </w:hyperlink>
      <w:r w:rsidRPr="009660DC">
        <w:rPr>
          <w:rFonts w:cstheme="minorHAnsi"/>
          <w:b/>
        </w:rPr>
        <w:t>, kl. 5237)</w:t>
      </w:r>
    </w:p>
    <w:p w:rsidR="009A6497" w:rsidRPr="009660DC" w:rsidRDefault="009A6497" w:rsidP="009A6497">
      <w:pPr>
        <w:rPr>
          <w:rFonts w:cstheme="minorHAnsi"/>
          <w:b/>
        </w:rPr>
      </w:pPr>
      <w:r w:rsidRPr="009660DC">
        <w:rPr>
          <w:rFonts w:cstheme="minorHAnsi"/>
          <w:b/>
        </w:rPr>
        <w:t xml:space="preserve">Duševní vlastnictví, konzultace smlouvy mezi uchazeči </w:t>
      </w:r>
      <w:proofErr w:type="spellStart"/>
      <w:r w:rsidRPr="009660DC">
        <w:rPr>
          <w:rFonts w:cstheme="minorHAnsi"/>
          <w:b/>
        </w:rPr>
        <w:t>Letter</w:t>
      </w:r>
      <w:proofErr w:type="spellEnd"/>
      <w:r w:rsidRPr="009660DC">
        <w:rPr>
          <w:rFonts w:cstheme="minorHAnsi"/>
          <w:b/>
        </w:rPr>
        <w:t xml:space="preserve"> </w:t>
      </w:r>
      <w:proofErr w:type="spellStart"/>
      <w:r w:rsidRPr="009660DC">
        <w:rPr>
          <w:rFonts w:cstheme="minorHAnsi"/>
          <w:b/>
        </w:rPr>
        <w:t>of</w:t>
      </w:r>
      <w:proofErr w:type="spellEnd"/>
      <w:r w:rsidRPr="009660DC">
        <w:rPr>
          <w:rFonts w:cstheme="minorHAnsi"/>
          <w:b/>
        </w:rPr>
        <w:t xml:space="preserve"> </w:t>
      </w:r>
      <w:proofErr w:type="spellStart"/>
      <w:r w:rsidRPr="009660DC">
        <w:rPr>
          <w:rFonts w:cstheme="minorHAnsi"/>
          <w:b/>
        </w:rPr>
        <w:t>intent</w:t>
      </w:r>
      <w:proofErr w:type="spellEnd"/>
      <w:r w:rsidRPr="009660DC">
        <w:rPr>
          <w:rFonts w:cstheme="minorHAnsi"/>
          <w:b/>
        </w:rPr>
        <w:t xml:space="preserve"> – OTT – </w:t>
      </w:r>
      <w:r w:rsidR="009F357C">
        <w:rPr>
          <w:rFonts w:cstheme="minorHAnsi"/>
          <w:b/>
        </w:rPr>
        <w:t>Mgr. Michaela Daňková</w:t>
      </w:r>
      <w:r w:rsidRPr="009660DC">
        <w:rPr>
          <w:rFonts w:cstheme="minorHAnsi"/>
          <w:b/>
        </w:rPr>
        <w:t xml:space="preserve"> (</w:t>
      </w:r>
      <w:hyperlink r:id="rId6" w:history="1">
        <w:r w:rsidR="009F357C" w:rsidRPr="00AD3B71">
          <w:rPr>
            <w:rStyle w:val="Hypertextovodkaz"/>
            <w:rFonts w:cstheme="minorHAnsi"/>
            <w:b/>
          </w:rPr>
          <w:t>dankovam@vutbr.cz</w:t>
        </w:r>
      </w:hyperlink>
      <w:r w:rsidRPr="009660DC">
        <w:rPr>
          <w:rFonts w:cstheme="minorHAnsi"/>
          <w:b/>
        </w:rPr>
        <w:t>, kl. 422</w:t>
      </w:r>
      <w:r w:rsidR="009F357C">
        <w:rPr>
          <w:rFonts w:cstheme="minorHAnsi"/>
          <w:b/>
        </w:rPr>
        <w:t>8</w:t>
      </w:r>
      <w:r w:rsidRPr="009660DC">
        <w:rPr>
          <w:rFonts w:cstheme="minorHAnsi"/>
          <w:b/>
        </w:rPr>
        <w:t>)</w:t>
      </w:r>
    </w:p>
    <w:p w:rsidR="009A6497" w:rsidRPr="009660DC" w:rsidRDefault="009A6497" w:rsidP="009A6497">
      <w:pPr>
        <w:rPr>
          <w:rFonts w:cstheme="minorHAnsi"/>
          <w:b/>
        </w:rPr>
      </w:pPr>
      <w:r w:rsidRPr="009660DC">
        <w:rPr>
          <w:rFonts w:cstheme="minorHAnsi"/>
          <w:b/>
        </w:rPr>
        <w:t>Otázka DPH v projektech TAČR – Ing. Romana Sasková (</w:t>
      </w:r>
      <w:hyperlink r:id="rId7" w:history="1">
        <w:r w:rsidR="000E682C" w:rsidRPr="009660DC">
          <w:rPr>
            <w:rStyle w:val="Hypertextovodkaz"/>
            <w:rFonts w:cstheme="minorHAnsi"/>
            <w:b/>
          </w:rPr>
          <w:t>saskova@vutbr.cz</w:t>
        </w:r>
      </w:hyperlink>
      <w:r w:rsidRPr="009660DC">
        <w:rPr>
          <w:rFonts w:cstheme="minorHAnsi"/>
          <w:b/>
        </w:rPr>
        <w:t>, kl. 5356)</w:t>
      </w:r>
    </w:p>
    <w:p w:rsidR="009A6497" w:rsidRPr="009660DC" w:rsidRDefault="009A6497" w:rsidP="009A6497">
      <w:pPr>
        <w:spacing w:line="240" w:lineRule="auto"/>
        <w:rPr>
          <w:rFonts w:cstheme="minorHAnsi"/>
          <w:b/>
        </w:rPr>
      </w:pPr>
      <w:r w:rsidRPr="009660DC">
        <w:rPr>
          <w:rFonts w:cstheme="minorHAnsi"/>
          <w:b/>
        </w:rPr>
        <w:t>Zadání do APOLLA pod programem financování: SS0</w:t>
      </w:r>
      <w:r w:rsidR="009F357C">
        <w:rPr>
          <w:rFonts w:cstheme="minorHAnsi"/>
          <w:b/>
        </w:rPr>
        <w:t>6</w:t>
      </w:r>
      <w:r w:rsidRPr="009660DC">
        <w:rPr>
          <w:rFonts w:cstheme="minorHAnsi"/>
          <w:b/>
        </w:rPr>
        <w:t>0</w:t>
      </w:r>
    </w:p>
    <w:p w:rsidR="0057770F" w:rsidRPr="009660DC" w:rsidRDefault="0057770F" w:rsidP="0057770F">
      <w:pPr>
        <w:rPr>
          <w:rFonts w:cstheme="minorHAnsi"/>
          <w:b/>
        </w:rPr>
      </w:pPr>
    </w:p>
    <w:p w:rsidR="00C10D9F" w:rsidRPr="009660DC" w:rsidRDefault="00C10D9F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Odkaz na soutěž:</w:t>
      </w:r>
    </w:p>
    <w:p w:rsidR="000E682C" w:rsidRPr="009660DC" w:rsidRDefault="008A31B0" w:rsidP="0057770F">
      <w:pPr>
        <w:rPr>
          <w:rFonts w:cstheme="minorHAnsi"/>
          <w:b/>
        </w:rPr>
      </w:pPr>
      <w:hyperlink r:id="rId8" w:history="1">
        <w:r w:rsidR="009F357C" w:rsidRPr="00AD3B71">
          <w:rPr>
            <w:rStyle w:val="Hypertextovodkaz"/>
          </w:rPr>
          <w:t>https://www.tacr.cz/vyhlaseni-6-verejne-souteze-programu-prostredi-pro-zivot/</w:t>
        </w:r>
      </w:hyperlink>
      <w:r w:rsidR="009F357C">
        <w:t xml:space="preserve"> </w:t>
      </w:r>
    </w:p>
    <w:p w:rsidR="009F357C" w:rsidRDefault="009F357C" w:rsidP="0057770F">
      <w:pPr>
        <w:rPr>
          <w:rFonts w:cstheme="minorHAnsi"/>
          <w:b/>
          <w:i/>
          <w:color w:val="0070C0"/>
          <w:sz w:val="28"/>
          <w:szCs w:val="28"/>
        </w:rPr>
      </w:pPr>
    </w:p>
    <w:p w:rsidR="0057770F" w:rsidRPr="009660DC" w:rsidRDefault="0057770F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Uchazeči:</w:t>
      </w:r>
    </w:p>
    <w:p w:rsidR="009F357C" w:rsidRDefault="009F357C" w:rsidP="00F3281D">
      <w:r>
        <w:lastRenderedPageBreak/>
        <w:t xml:space="preserve">Uchazeči mohou být právnické osoby různých právních forem (vysoké školy, veřejné výzkumné instituce, obchodní korporace, družstva, územní samosprávné celky, příspěvkové organizace, různé neziskové organizace včetně spolků atd.) a podnikající fyzické osoby (živnostníci, OSVČ). </w:t>
      </w:r>
    </w:p>
    <w:p w:rsidR="00F3281D" w:rsidRPr="009660DC" w:rsidRDefault="009F357C" w:rsidP="00F3281D">
      <w:pPr>
        <w:rPr>
          <w:rFonts w:cstheme="minorHAnsi"/>
          <w:b/>
          <w:i/>
          <w:color w:val="0070C0"/>
          <w:sz w:val="28"/>
          <w:szCs w:val="28"/>
        </w:rPr>
      </w:pPr>
      <w:r>
        <w:t>Uchazeči se mohou hlásit buď samostatně, nebo jako uchazeči společného návrhu projektu.</w:t>
      </w:r>
    </w:p>
    <w:p w:rsidR="00F3281D" w:rsidRPr="009660DC" w:rsidRDefault="00F3281D" w:rsidP="00F3281D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 xml:space="preserve">Zaměření soutěže: </w:t>
      </w:r>
    </w:p>
    <w:p w:rsidR="00450019" w:rsidRPr="00450019" w:rsidRDefault="00450019" w:rsidP="00F3281D">
      <w:pPr>
        <w:rPr>
          <w:i/>
          <w:u w:val="single"/>
        </w:rPr>
      </w:pPr>
      <w:r w:rsidRPr="00450019">
        <w:rPr>
          <w:i/>
          <w:u w:val="single"/>
        </w:rPr>
        <w:t xml:space="preserve">Podprogram 1 - Operativní výzkum ve veřejném zájmu (dále také jako „PP1”) </w:t>
      </w:r>
    </w:p>
    <w:p w:rsidR="00450019" w:rsidRDefault="00450019" w:rsidP="00F3281D">
      <w:r>
        <w:t xml:space="preserve">Podprogram 1 je zaměřený zejména na odbornou podporu výkonu veřejné správy v oblasti životního prostředí. Přínosem návrhů projektů má být zjednodušení, zkvalitnění a zefektivnění veřejné správy a zkvalitnění řízení a regulací v oblasti životního prostředí. Očekáváme návrhy projektů, které budou vycházet z potřeb veřejné správy v oblasti životního prostředí, nebo nabídnou takové výsledky, které bude veřejná správa využívat zejména při tvorbě či plnění strategických a koncepčních dokumentů. </w:t>
      </w:r>
    </w:p>
    <w:p w:rsidR="00450019" w:rsidRPr="00450019" w:rsidRDefault="00450019" w:rsidP="00F3281D">
      <w:pPr>
        <w:rPr>
          <w:i/>
          <w:u w:val="single"/>
        </w:rPr>
      </w:pPr>
      <w:r w:rsidRPr="00450019">
        <w:rPr>
          <w:i/>
          <w:u w:val="single"/>
        </w:rPr>
        <w:t xml:space="preserve">Podprogram 2 - </w:t>
      </w:r>
      <w:proofErr w:type="spellStart"/>
      <w:r w:rsidRPr="00450019">
        <w:rPr>
          <w:i/>
          <w:u w:val="single"/>
        </w:rPr>
        <w:t>Ekoinovace</w:t>
      </w:r>
      <w:proofErr w:type="spellEnd"/>
      <w:r w:rsidRPr="00450019">
        <w:rPr>
          <w:i/>
          <w:u w:val="single"/>
        </w:rPr>
        <w:t xml:space="preserve">, technologie a postupy pro ochranu životního prostředí (dále také jako „PP2”) </w:t>
      </w:r>
    </w:p>
    <w:p w:rsidR="00F3281D" w:rsidRDefault="00450019" w:rsidP="00F3281D">
      <w:pPr>
        <w:rPr>
          <w:rFonts w:cstheme="minorHAnsi"/>
          <w:color w:val="000000"/>
          <w:sz w:val="24"/>
          <w:szCs w:val="24"/>
        </w:rPr>
      </w:pPr>
      <w:r>
        <w:t xml:space="preserve">Prvním dílčím cílem podprogramu 2 je podpořit </w:t>
      </w:r>
      <w:proofErr w:type="spellStart"/>
      <w:r>
        <w:t>ekoinovace</w:t>
      </w:r>
      <w:proofErr w:type="spellEnd"/>
      <w:r>
        <w:t xml:space="preserve"> a technologie a techniky v technické ochraně životního prostředí, přenos technologií, zkušeností a znalostní báze z výzkumných organizací do podniků, zejména malých a středních firem. Druhým dílčím cílem je zajistit postupy pro minimalizaci rizik plynoucích z nedostatečné kvality životního prostředí pro zdraví lidí, jejich prostředí a přírodu.</w:t>
      </w:r>
      <w:r w:rsidR="00F3281D" w:rsidRPr="009660DC">
        <w:rPr>
          <w:rFonts w:cstheme="minorHAnsi"/>
          <w:color w:val="000000"/>
          <w:sz w:val="24"/>
          <w:szCs w:val="24"/>
        </w:rPr>
        <w:br/>
      </w:r>
    </w:p>
    <w:p w:rsidR="00450019" w:rsidRDefault="00450019" w:rsidP="00F3281D">
      <w:pPr>
        <w:rPr>
          <w:b/>
          <w:color w:val="FF0000"/>
        </w:rPr>
      </w:pPr>
      <w:r w:rsidRPr="00450019">
        <w:rPr>
          <w:b/>
          <w:color w:val="FF0000"/>
        </w:rPr>
        <w:t>POZOR! Podprogram 2 je financován z Národního plánu obnovy, který má specifická pravidla.</w:t>
      </w:r>
    </w:p>
    <w:p w:rsidR="00450019" w:rsidRPr="009F357C" w:rsidRDefault="00450019" w:rsidP="009F357C">
      <w:pPr>
        <w:pStyle w:val="Odstavecseseznamem"/>
        <w:numPr>
          <w:ilvl w:val="0"/>
          <w:numId w:val="24"/>
        </w:numPr>
        <w:rPr>
          <w:i/>
          <w:color w:val="FF0000"/>
        </w:rPr>
      </w:pPr>
      <w:r w:rsidRPr="009F357C">
        <w:rPr>
          <w:i/>
          <w:color w:val="FF0000"/>
        </w:rPr>
        <w:t xml:space="preserve">dodržování zásady „významně nepoškozovat“ </w:t>
      </w:r>
    </w:p>
    <w:p w:rsidR="00450019" w:rsidRPr="009F357C" w:rsidRDefault="00450019" w:rsidP="009F357C">
      <w:pPr>
        <w:pStyle w:val="Odstavecseseznamem"/>
        <w:numPr>
          <w:ilvl w:val="0"/>
          <w:numId w:val="24"/>
        </w:numPr>
        <w:rPr>
          <w:i/>
          <w:color w:val="FF0000"/>
        </w:rPr>
      </w:pPr>
      <w:r w:rsidRPr="009F357C">
        <w:rPr>
          <w:i/>
          <w:color w:val="FF0000"/>
        </w:rPr>
        <w:t>plnění povinné publicity</w:t>
      </w:r>
      <w:r w:rsidR="00552543">
        <w:rPr>
          <w:i/>
          <w:color w:val="FF0000"/>
        </w:rPr>
        <w:t xml:space="preserve"> NPO</w:t>
      </w:r>
      <w:r w:rsidRPr="009F357C">
        <w:rPr>
          <w:i/>
          <w:color w:val="FF0000"/>
        </w:rPr>
        <w:t xml:space="preserve">; </w:t>
      </w:r>
    </w:p>
    <w:p w:rsidR="00450019" w:rsidRPr="009F357C" w:rsidRDefault="00450019" w:rsidP="009F357C">
      <w:pPr>
        <w:pStyle w:val="Odstavecseseznamem"/>
        <w:numPr>
          <w:ilvl w:val="0"/>
          <w:numId w:val="24"/>
        </w:numPr>
        <w:rPr>
          <w:i/>
          <w:color w:val="FF0000"/>
        </w:rPr>
      </w:pPr>
      <w:r w:rsidRPr="009F357C">
        <w:rPr>
          <w:i/>
          <w:color w:val="FF0000"/>
        </w:rPr>
        <w:t>DPH není způsobilý výdaj;</w:t>
      </w:r>
    </w:p>
    <w:p w:rsidR="00450019" w:rsidRPr="009F357C" w:rsidRDefault="00450019" w:rsidP="009F357C">
      <w:pPr>
        <w:pStyle w:val="Odstavecseseznamem"/>
        <w:numPr>
          <w:ilvl w:val="0"/>
          <w:numId w:val="24"/>
        </w:numPr>
        <w:rPr>
          <w:rFonts w:cstheme="minorHAnsi"/>
          <w:b/>
          <w:i/>
          <w:color w:val="FF0000"/>
          <w:sz w:val="24"/>
          <w:szCs w:val="24"/>
        </w:rPr>
      </w:pPr>
      <w:r w:rsidRPr="009F357C">
        <w:rPr>
          <w:i/>
          <w:color w:val="FF0000"/>
        </w:rPr>
        <w:t>vyloučení střetu zájmů</w:t>
      </w:r>
      <w:r w:rsidR="00552543">
        <w:rPr>
          <w:i/>
          <w:color w:val="FF0000"/>
        </w:rPr>
        <w:t>;</w:t>
      </w:r>
    </w:p>
    <w:p w:rsidR="00F71A82" w:rsidRDefault="00F71A82" w:rsidP="00F3281D">
      <w:pPr>
        <w:rPr>
          <w:rFonts w:cstheme="minorHAnsi"/>
          <w:b/>
          <w:i/>
          <w:color w:val="0070C0"/>
          <w:sz w:val="28"/>
          <w:szCs w:val="28"/>
        </w:rPr>
      </w:pPr>
    </w:p>
    <w:p w:rsidR="00D66035" w:rsidRPr="009660DC" w:rsidRDefault="00A01D4F" w:rsidP="00F3281D">
      <w:pPr>
        <w:rPr>
          <w:rFonts w:cstheme="minorHAnsi"/>
          <w:b/>
          <w:i/>
          <w:color w:val="0070C0"/>
          <w:sz w:val="28"/>
          <w:szCs w:val="28"/>
        </w:rPr>
      </w:pPr>
      <w:r w:rsidRPr="00A01D4F">
        <w:rPr>
          <w:rFonts w:cstheme="minorHAnsi"/>
          <w:b/>
          <w:i/>
          <w:color w:val="0070C0"/>
          <w:sz w:val="28"/>
          <w:szCs w:val="28"/>
        </w:rPr>
        <w:t>Aplikování výstupů a výsledků</w:t>
      </w:r>
      <w:r w:rsidR="00D66035" w:rsidRPr="009660DC">
        <w:rPr>
          <w:rFonts w:cstheme="minorHAnsi"/>
          <w:b/>
          <w:i/>
          <w:color w:val="0070C0"/>
          <w:sz w:val="28"/>
          <w:szCs w:val="28"/>
        </w:rPr>
        <w:t>:</w:t>
      </w:r>
    </w:p>
    <w:p w:rsidR="00A01D4F" w:rsidRPr="00A01D4F" w:rsidRDefault="00A01D4F" w:rsidP="00A01D4F">
      <w:pPr>
        <w:rPr>
          <w:rFonts w:cstheme="minorHAnsi"/>
          <w:b/>
        </w:rPr>
      </w:pPr>
      <w:r w:rsidRPr="00A01D4F">
        <w:rPr>
          <w:rFonts w:cstheme="minorHAnsi"/>
          <w:b/>
        </w:rPr>
        <w:t>Podprogram 1 - Operativní výzkum ve veřejném zájmu</w:t>
      </w:r>
    </w:p>
    <w:p w:rsidR="00A01D4F" w:rsidRPr="00A01D4F" w:rsidRDefault="00A01D4F" w:rsidP="00A01D4F">
      <w:pPr>
        <w:rPr>
          <w:rFonts w:cstheme="minorHAnsi"/>
        </w:rPr>
      </w:pPr>
      <w:r w:rsidRPr="00A01D4F">
        <w:rPr>
          <w:rFonts w:cstheme="minorHAnsi"/>
        </w:rPr>
        <w:t>V podprogramu 1 je povinnost mít jednoho aplikačního garanta. Uchazeč si zvolí hlavní PVC dle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>zaměření návrhu projektu, tím je určen konkrétní aplikační garant, který je na PVC navázán. Na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>vedlejší PVC se povinnost mít aplikačního garanta nevztahuje. V příloze č. 1 Zadávací dokumentace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>jsou uvedeny PVC spolu se seznamem aplikačních garantů.</w:t>
      </w:r>
    </w:p>
    <w:p w:rsidR="00A01D4F" w:rsidRPr="00A01D4F" w:rsidRDefault="00A01D4F" w:rsidP="00A01D4F">
      <w:pPr>
        <w:rPr>
          <w:rFonts w:cstheme="minorHAnsi"/>
        </w:rPr>
      </w:pPr>
      <w:r w:rsidRPr="00A01D4F">
        <w:rPr>
          <w:rFonts w:cstheme="minorHAnsi"/>
        </w:rPr>
        <w:t>Každý subjekt plnící roli aplikačního garanta musí splňovat podmínky dané touto Zadávací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>dokumentací a přílohou č. 5 Aplikační garant v podprogramu 1.</w:t>
      </w:r>
    </w:p>
    <w:p w:rsidR="00A01D4F" w:rsidRPr="00A01D4F" w:rsidRDefault="00A01D4F" w:rsidP="00A01D4F">
      <w:pPr>
        <w:rPr>
          <w:rFonts w:cstheme="minorHAnsi"/>
          <w:b/>
        </w:rPr>
      </w:pPr>
      <w:r w:rsidRPr="00A01D4F">
        <w:rPr>
          <w:rFonts w:cstheme="minorHAnsi"/>
          <w:b/>
        </w:rPr>
        <w:t>Aplikační garant nesmí být v návrhu projektu hlavním uchazečem ani dalším účastníkem.</w:t>
      </w:r>
    </w:p>
    <w:p w:rsidR="00A01D4F" w:rsidRPr="00A01D4F" w:rsidRDefault="00A01D4F" w:rsidP="00A01D4F">
      <w:pPr>
        <w:rPr>
          <w:rFonts w:cstheme="minorHAnsi"/>
        </w:rPr>
      </w:pPr>
      <w:r w:rsidRPr="00A01D4F">
        <w:rPr>
          <w:rFonts w:cstheme="minorHAnsi"/>
        </w:rPr>
        <w:t>Zájem aplikačního garanta o výstupy/výsledky návrhu projektu se prokazuje povinnou přílohou. Tato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 xml:space="preserve">příloha může mít formu např. </w:t>
      </w:r>
      <w:proofErr w:type="spellStart"/>
      <w:r w:rsidRPr="00A01D4F">
        <w:rPr>
          <w:rFonts w:cstheme="minorHAnsi"/>
        </w:rPr>
        <w:t>Letter</w:t>
      </w:r>
      <w:proofErr w:type="spellEnd"/>
      <w:r w:rsidRPr="00A01D4F">
        <w:rPr>
          <w:rFonts w:cstheme="minorHAnsi"/>
        </w:rPr>
        <w:t xml:space="preserve"> </w:t>
      </w:r>
      <w:proofErr w:type="spellStart"/>
      <w:r w:rsidRPr="00A01D4F">
        <w:rPr>
          <w:rFonts w:cstheme="minorHAnsi"/>
        </w:rPr>
        <w:t>of</w:t>
      </w:r>
      <w:proofErr w:type="spellEnd"/>
      <w:r w:rsidRPr="00A01D4F">
        <w:rPr>
          <w:rFonts w:cstheme="minorHAnsi"/>
        </w:rPr>
        <w:t xml:space="preserve"> </w:t>
      </w:r>
      <w:proofErr w:type="spellStart"/>
      <w:r w:rsidRPr="00A01D4F">
        <w:rPr>
          <w:rFonts w:cstheme="minorHAnsi"/>
        </w:rPr>
        <w:t>Intent</w:t>
      </w:r>
      <w:proofErr w:type="spellEnd"/>
      <w:r w:rsidRPr="00A01D4F">
        <w:rPr>
          <w:rFonts w:cstheme="minorHAnsi"/>
        </w:rPr>
        <w:t xml:space="preserve"> (dopis o záměru), smlouva o využití výsledků, smlouva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>o smlouvě budoucí, memorandum.</w:t>
      </w:r>
    </w:p>
    <w:p w:rsidR="00A01D4F" w:rsidRDefault="00A01D4F" w:rsidP="00A01D4F">
      <w:pPr>
        <w:rPr>
          <w:rFonts w:cstheme="minorHAnsi"/>
        </w:rPr>
      </w:pPr>
      <w:r w:rsidRPr="00A01D4F">
        <w:rPr>
          <w:rFonts w:cstheme="minorHAnsi"/>
        </w:rPr>
        <w:lastRenderedPageBreak/>
        <w:t>Pro širší uplatnitelnost výstupů/výsledků můžete do návrhu projektu uvést i další uživatele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 xml:space="preserve">výstupů/výsledků, případně dodat nepovinnou přílohu, v níž bude potvrzen jejich zájem. </w:t>
      </w:r>
    </w:p>
    <w:p w:rsidR="00A01D4F" w:rsidRPr="00A01D4F" w:rsidRDefault="00A01D4F" w:rsidP="00A01D4F">
      <w:pPr>
        <w:rPr>
          <w:rFonts w:cstheme="minorHAnsi"/>
        </w:rPr>
      </w:pPr>
      <w:r w:rsidRPr="00A01D4F">
        <w:rPr>
          <w:rFonts w:cstheme="minorHAnsi"/>
        </w:rPr>
        <w:t>Příloha za aplikačního garanta a uživatele výstupů/výsledků musí obsahovat minimálně následující</w:t>
      </w:r>
      <w:r>
        <w:rPr>
          <w:rFonts w:cstheme="minorHAnsi"/>
        </w:rPr>
        <w:t xml:space="preserve"> </w:t>
      </w:r>
      <w:r w:rsidRPr="00A01D4F">
        <w:rPr>
          <w:rFonts w:cstheme="minorHAnsi"/>
        </w:rPr>
        <w:t>náležitosti:</w:t>
      </w:r>
    </w:p>
    <w:p w:rsidR="00A01D4F" w:rsidRPr="00A01D4F" w:rsidRDefault="00A01D4F" w:rsidP="00A01D4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A01D4F">
        <w:rPr>
          <w:rFonts w:cstheme="minorHAnsi"/>
        </w:rPr>
        <w:t>identifikace organizace plnící roli aplikačního garanta či uživatele výstupů/výsledků a jméno odpovědné osoby, která bude aplikační garanci či uplatnění výstupů/výsledků prakticky plnit;</w:t>
      </w:r>
    </w:p>
    <w:p w:rsidR="00A01D4F" w:rsidRPr="00A01D4F" w:rsidRDefault="00A01D4F" w:rsidP="00A01D4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A01D4F">
        <w:rPr>
          <w:rFonts w:cstheme="minorHAnsi"/>
        </w:rPr>
        <w:t>způsob a míra zapojení aplikačního garanta či uživatele výstupů/výsledků ve vazbě na řešení projektu, resp. na tvorbu hlavního výstupu/výsledku projektu;</w:t>
      </w:r>
    </w:p>
    <w:p w:rsidR="00A01D4F" w:rsidRPr="00A01D4F" w:rsidRDefault="00A01D4F" w:rsidP="00A01D4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A01D4F">
        <w:rPr>
          <w:rFonts w:cstheme="minorHAnsi"/>
        </w:rPr>
        <w:t>deklarace vůle využívat hlavní výstup/výsledek projektu;</w:t>
      </w:r>
    </w:p>
    <w:p w:rsidR="00A01D4F" w:rsidRPr="00A01D4F" w:rsidRDefault="00A01D4F" w:rsidP="00A01D4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A01D4F">
        <w:rPr>
          <w:rFonts w:cstheme="minorHAnsi"/>
        </w:rPr>
        <w:t>popis způsobu a účelu využití hlavního výstupu/výsledku projektu;</w:t>
      </w:r>
    </w:p>
    <w:p w:rsidR="00A01D4F" w:rsidRDefault="00A01D4F" w:rsidP="00A01D4F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A01D4F">
        <w:rPr>
          <w:rFonts w:cstheme="minorHAnsi"/>
        </w:rPr>
        <w:t>datum a podpis zástupce aplikačního garanta či uživatele výstupů/výsledků.</w:t>
      </w:r>
    </w:p>
    <w:p w:rsidR="00837385" w:rsidRDefault="00837385" w:rsidP="00A01D4F">
      <w:pPr>
        <w:rPr>
          <w:b/>
        </w:rPr>
      </w:pPr>
      <w:r>
        <w:rPr>
          <w:b/>
        </w:rPr>
        <w:t xml:space="preserve">Bližší informace o roli aplikačního garanta popisuje </w:t>
      </w:r>
      <w:hyperlink r:id="rId9" w:history="1">
        <w:r w:rsidRPr="00837385">
          <w:rPr>
            <w:rStyle w:val="Hypertextovodkaz"/>
            <w:b/>
          </w:rPr>
          <w:t>příloha č. 5 Aplikační garant</w:t>
        </w:r>
      </w:hyperlink>
    </w:p>
    <w:p w:rsidR="00A01D4F" w:rsidRPr="00A01D4F" w:rsidRDefault="00A01D4F" w:rsidP="00A01D4F">
      <w:pPr>
        <w:rPr>
          <w:b/>
        </w:rPr>
      </w:pPr>
      <w:r w:rsidRPr="00A01D4F">
        <w:rPr>
          <w:b/>
        </w:rPr>
        <w:t xml:space="preserve">Podprogram 2 - </w:t>
      </w:r>
      <w:proofErr w:type="spellStart"/>
      <w:r w:rsidRPr="00A01D4F">
        <w:rPr>
          <w:b/>
        </w:rPr>
        <w:t>Ekoinovace</w:t>
      </w:r>
      <w:proofErr w:type="spellEnd"/>
      <w:r w:rsidRPr="00A01D4F">
        <w:rPr>
          <w:b/>
        </w:rPr>
        <w:t xml:space="preserve">, technologie a postupy pro ochranu životního prostředí </w:t>
      </w:r>
    </w:p>
    <w:p w:rsidR="00A01D4F" w:rsidRDefault="00A01D4F" w:rsidP="00A01D4F">
      <w:r>
        <w:t xml:space="preserve">Vzhledem k zaměření podprogramu 2 je třeba, aby byla uplatnitelnost výstupů/výsledků v návrhu projektu prokázána následovně: </w:t>
      </w:r>
    </w:p>
    <w:p w:rsidR="00A01D4F" w:rsidRDefault="00A01D4F" w:rsidP="00A01D4F">
      <w:pPr>
        <w:pStyle w:val="Odstavecseseznamem"/>
        <w:numPr>
          <w:ilvl w:val="0"/>
          <w:numId w:val="26"/>
        </w:numPr>
      </w:pPr>
      <w:r>
        <w:t xml:space="preserve">o plánované výstupy/výsledky návrhu projektu má zájem konkrétní subjekt (může jím být např. podnik, jiný soukromoprávní subjekt nebo subjekt veřejné správy); </w:t>
      </w:r>
    </w:p>
    <w:p w:rsidR="00A01D4F" w:rsidRDefault="00A01D4F" w:rsidP="00A01D4F">
      <w:pPr>
        <w:pStyle w:val="Odstavecseseznamem"/>
        <w:numPr>
          <w:ilvl w:val="0"/>
          <w:numId w:val="26"/>
        </w:numPr>
      </w:pPr>
      <w:r>
        <w:t xml:space="preserve">projevený zájem subjektu je navázán na konkrétní výstupy/výsledky popsané v návrhu projektu; </w:t>
      </w:r>
    </w:p>
    <w:p w:rsidR="00A01D4F" w:rsidRDefault="00A01D4F" w:rsidP="00A01D4F">
      <w:pPr>
        <w:pStyle w:val="Odstavecseseznamem"/>
        <w:numPr>
          <w:ilvl w:val="0"/>
          <w:numId w:val="26"/>
        </w:numPr>
      </w:pPr>
      <w:r>
        <w:t xml:space="preserve">součástí aplikování výstupů/výsledků je i příslib spolupráce jakéhokoliv subjektu při zavádění výstupu/výsledku do praxe (např. příslib pilotního testování, certifikace, poskytnutí součinnosti). </w:t>
      </w:r>
    </w:p>
    <w:p w:rsidR="00A01D4F" w:rsidRPr="00A01D4F" w:rsidRDefault="00A01D4F" w:rsidP="00A01D4F">
      <w:pPr>
        <w:rPr>
          <w:rFonts w:cstheme="minorHAnsi"/>
        </w:rPr>
      </w:pPr>
      <w:r>
        <w:t>Uplatnitelnost výstupů/výsledků podle předchozích bodů uchazeči popíší přímo v textu návrhu projektu, případně může být doložena nepovinnou přílohou návrhu projektu (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nebo obdobný dokument).</w:t>
      </w:r>
    </w:p>
    <w:p w:rsidR="00A01D4F" w:rsidRDefault="00A01D4F" w:rsidP="00A01D4F">
      <w:pPr>
        <w:rPr>
          <w:rFonts w:cstheme="minorHAnsi"/>
          <w:b/>
          <w:i/>
          <w:color w:val="0070C0"/>
          <w:sz w:val="28"/>
          <w:szCs w:val="28"/>
        </w:rPr>
      </w:pPr>
    </w:p>
    <w:p w:rsidR="0057770F" w:rsidRPr="009660DC" w:rsidRDefault="0057770F" w:rsidP="00A01D4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Základní finanční údaje</w:t>
      </w:r>
    </w:p>
    <w:p w:rsidR="0057770F" w:rsidRPr="00F71A82" w:rsidRDefault="0057770F" w:rsidP="007C2781">
      <w:pPr>
        <w:spacing w:line="100" w:lineRule="atLeast"/>
        <w:rPr>
          <w:rFonts w:cstheme="minorHAnsi"/>
          <w:b/>
        </w:rPr>
      </w:pPr>
      <w:r w:rsidRPr="009660DC">
        <w:rPr>
          <w:rFonts w:cstheme="minorHAnsi"/>
        </w:rPr>
        <w:t>Alokace soutěže</w:t>
      </w:r>
      <w:r w:rsidR="00F71A82">
        <w:rPr>
          <w:rFonts w:cstheme="minorHAnsi"/>
        </w:rPr>
        <w:t>:</w:t>
      </w:r>
      <w:r w:rsidRPr="009660DC">
        <w:rPr>
          <w:rFonts w:cstheme="minorHAnsi"/>
        </w:rPr>
        <w:t xml:space="preserve"> </w:t>
      </w:r>
      <w:r w:rsidR="00F71A82">
        <w:rPr>
          <w:rFonts w:cstheme="minorHAnsi"/>
        </w:rPr>
        <w:tab/>
      </w:r>
      <w:r w:rsidR="00CD1210" w:rsidRPr="00F71A82">
        <w:rPr>
          <w:rFonts w:cstheme="minorHAnsi"/>
          <w:b/>
        </w:rPr>
        <w:t>Podprogram 1</w:t>
      </w:r>
      <w:r w:rsidR="00B723D0" w:rsidRPr="00F71A82">
        <w:rPr>
          <w:rFonts w:cstheme="minorHAnsi"/>
          <w:b/>
        </w:rPr>
        <w:t xml:space="preserve"> </w:t>
      </w:r>
      <w:r w:rsidRPr="00F71A82">
        <w:rPr>
          <w:rFonts w:cstheme="minorHAnsi"/>
          <w:b/>
        </w:rPr>
        <w:t xml:space="preserve">- </w:t>
      </w:r>
      <w:r w:rsidR="00CD1210" w:rsidRPr="00F71A82">
        <w:rPr>
          <w:rFonts w:cstheme="minorHAnsi"/>
          <w:b/>
        </w:rPr>
        <w:t>152</w:t>
      </w:r>
      <w:r w:rsidRPr="00F71A82">
        <w:rPr>
          <w:rFonts w:cstheme="minorHAnsi"/>
          <w:b/>
        </w:rPr>
        <w:t xml:space="preserve"> mil. Kč</w:t>
      </w:r>
      <w:r w:rsidR="00B723D0" w:rsidRPr="00F71A82">
        <w:rPr>
          <w:rFonts w:cstheme="minorHAnsi"/>
          <w:b/>
        </w:rPr>
        <w:t xml:space="preserve"> </w:t>
      </w:r>
    </w:p>
    <w:p w:rsidR="00F71A82" w:rsidRPr="009660DC" w:rsidRDefault="00F71A82" w:rsidP="007C2781">
      <w:pPr>
        <w:spacing w:line="100" w:lineRule="atLeas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Podprogram 2 – 200 mil. Kč</w:t>
      </w:r>
    </w:p>
    <w:p w:rsidR="0057770F" w:rsidRDefault="0057770F" w:rsidP="007C2781">
      <w:pPr>
        <w:spacing w:line="100" w:lineRule="atLeast"/>
        <w:rPr>
          <w:rFonts w:cstheme="minorHAnsi"/>
          <w:b/>
        </w:rPr>
      </w:pPr>
      <w:r w:rsidRPr="009660DC">
        <w:rPr>
          <w:rFonts w:cstheme="minorHAnsi"/>
        </w:rPr>
        <w:t>Maximální částka podpory na jeden projekt</w:t>
      </w:r>
      <w:r w:rsidR="00AD3531">
        <w:rPr>
          <w:rFonts w:cstheme="minorHAnsi"/>
        </w:rPr>
        <w:t xml:space="preserve"> </w:t>
      </w:r>
      <w:r w:rsidR="00AD3531">
        <w:rPr>
          <w:rFonts w:cstheme="minorHAnsi"/>
        </w:rPr>
        <w:tab/>
        <w:t>PP1</w:t>
      </w:r>
      <w:r w:rsidR="009A6497" w:rsidRPr="009660DC">
        <w:rPr>
          <w:rFonts w:cstheme="minorHAnsi"/>
        </w:rPr>
        <w:t xml:space="preserve">- </w:t>
      </w:r>
      <w:r w:rsidR="009A6497" w:rsidRPr="009660DC">
        <w:rPr>
          <w:rFonts w:cstheme="minorHAnsi"/>
          <w:b/>
        </w:rPr>
        <w:t>1</w:t>
      </w:r>
      <w:r w:rsidR="000E682C" w:rsidRPr="009660DC">
        <w:rPr>
          <w:rFonts w:cstheme="minorHAnsi"/>
          <w:b/>
        </w:rPr>
        <w:t>0</w:t>
      </w:r>
      <w:r w:rsidRPr="009660DC">
        <w:rPr>
          <w:rFonts w:cstheme="minorHAnsi"/>
          <w:b/>
        </w:rPr>
        <w:t xml:space="preserve"> mil. Kč</w:t>
      </w:r>
    </w:p>
    <w:p w:rsidR="00AD3531" w:rsidRPr="009660DC" w:rsidRDefault="00AD3531" w:rsidP="007C2781">
      <w:pPr>
        <w:spacing w:line="100" w:lineRule="atLeas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PP2 12 mil. Kč</w:t>
      </w:r>
    </w:p>
    <w:p w:rsidR="0057770F" w:rsidRDefault="0057770F" w:rsidP="007C2781">
      <w:pPr>
        <w:spacing w:line="100" w:lineRule="atLeast"/>
        <w:rPr>
          <w:rFonts w:cstheme="minorHAnsi"/>
          <w:b/>
        </w:rPr>
      </w:pPr>
      <w:r w:rsidRPr="009660DC">
        <w:rPr>
          <w:rFonts w:cstheme="minorHAnsi"/>
        </w:rPr>
        <w:t>Maximální intenzita podpory na projekt</w:t>
      </w:r>
      <w:r w:rsidR="00AD3531">
        <w:rPr>
          <w:rFonts w:cstheme="minorHAnsi"/>
        </w:rPr>
        <w:t xml:space="preserve"> </w:t>
      </w:r>
      <w:r w:rsidR="00AD3531">
        <w:rPr>
          <w:rFonts w:cstheme="minorHAnsi"/>
        </w:rPr>
        <w:tab/>
        <w:t xml:space="preserve">PP1 - </w:t>
      </w:r>
      <w:r w:rsidR="000A264A" w:rsidRPr="009660DC">
        <w:rPr>
          <w:rFonts w:cstheme="minorHAnsi"/>
        </w:rPr>
        <w:t xml:space="preserve"> </w:t>
      </w:r>
      <w:r w:rsidR="009A6497" w:rsidRPr="00986FDE">
        <w:rPr>
          <w:rFonts w:cstheme="minorHAnsi"/>
          <w:b/>
        </w:rPr>
        <w:t>85</w:t>
      </w:r>
      <w:r w:rsidRPr="00986FDE">
        <w:rPr>
          <w:rFonts w:cstheme="minorHAnsi"/>
          <w:b/>
        </w:rPr>
        <w:t xml:space="preserve"> %</w:t>
      </w:r>
    </w:p>
    <w:p w:rsidR="00AD3531" w:rsidRPr="00986FDE" w:rsidRDefault="00AD3531" w:rsidP="007C2781">
      <w:pPr>
        <w:spacing w:line="100" w:lineRule="atLeas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PP2 – 80%</w:t>
      </w:r>
    </w:p>
    <w:p w:rsidR="00D66035" w:rsidRPr="009660DC" w:rsidRDefault="00D66035" w:rsidP="007C2781">
      <w:pPr>
        <w:spacing w:line="100" w:lineRule="atLeast"/>
        <w:rPr>
          <w:rFonts w:cstheme="minorHAnsi"/>
          <w:b/>
        </w:rPr>
      </w:pPr>
      <w:r w:rsidRPr="009660DC">
        <w:rPr>
          <w:rFonts w:cstheme="minorHAnsi"/>
          <w:b/>
        </w:rPr>
        <w:t>Maximální intenzita podpory pro výzkumnou organizaci -  100%</w:t>
      </w:r>
    </w:p>
    <w:p w:rsidR="00421000" w:rsidRPr="009660DC" w:rsidRDefault="00421000" w:rsidP="007C2781">
      <w:pPr>
        <w:spacing w:line="100" w:lineRule="atLeast"/>
        <w:rPr>
          <w:rFonts w:cstheme="minorHAnsi"/>
          <w:b/>
        </w:rPr>
      </w:pPr>
    </w:p>
    <w:p w:rsidR="00421000" w:rsidRPr="009660DC" w:rsidRDefault="00421000" w:rsidP="008A1221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Způsobilé náklady</w:t>
      </w:r>
      <w:r w:rsidR="00A24015" w:rsidRPr="009660DC">
        <w:rPr>
          <w:rFonts w:cstheme="minorHAnsi"/>
          <w:b/>
          <w:i/>
          <w:color w:val="0070C0"/>
          <w:sz w:val="28"/>
          <w:szCs w:val="28"/>
        </w:rPr>
        <w:t>:</w:t>
      </w:r>
      <w:r w:rsidRPr="009660DC">
        <w:rPr>
          <w:rFonts w:cstheme="minorHAnsi"/>
          <w:b/>
          <w:i/>
          <w:color w:val="0070C0"/>
          <w:sz w:val="28"/>
          <w:szCs w:val="28"/>
        </w:rPr>
        <w:t xml:space="preserve">  </w:t>
      </w:r>
    </w:p>
    <w:p w:rsidR="00421000" w:rsidRPr="009660DC" w:rsidRDefault="00421000" w:rsidP="00A24015">
      <w:pPr>
        <w:pStyle w:val="Default"/>
        <w:numPr>
          <w:ilvl w:val="0"/>
          <w:numId w:val="12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>osobní ná</w:t>
      </w:r>
      <w:r w:rsidR="00A24015" w:rsidRPr="009660DC">
        <w:rPr>
          <w:rFonts w:asciiTheme="minorHAnsi" w:hAnsiTheme="minorHAnsi" w:cstheme="minorHAnsi"/>
          <w:sz w:val="22"/>
          <w:szCs w:val="22"/>
        </w:rPr>
        <w:t>klady</w:t>
      </w:r>
      <w:r w:rsidRPr="009660D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421000" w:rsidRPr="009660DC" w:rsidRDefault="00421000" w:rsidP="00A24015">
      <w:pPr>
        <w:pStyle w:val="Default"/>
        <w:numPr>
          <w:ilvl w:val="0"/>
          <w:numId w:val="12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lastRenderedPageBreak/>
        <w:t xml:space="preserve">náklady na subdodávky; </w:t>
      </w:r>
    </w:p>
    <w:p w:rsidR="00421000" w:rsidRPr="009660DC" w:rsidRDefault="00421000" w:rsidP="00A24015">
      <w:pPr>
        <w:pStyle w:val="Default"/>
        <w:numPr>
          <w:ilvl w:val="0"/>
          <w:numId w:val="12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:rsidR="00421000" w:rsidRPr="009660DC" w:rsidRDefault="00421000" w:rsidP="00A24015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660DC">
        <w:rPr>
          <w:rFonts w:asciiTheme="minorHAnsi" w:hAnsiTheme="minorHAnsi" w:cstheme="minorHAnsi"/>
          <w:sz w:val="22"/>
          <w:szCs w:val="22"/>
        </w:rPr>
        <w:t xml:space="preserve">nepřímé náklady. </w:t>
      </w:r>
    </w:p>
    <w:p w:rsidR="00E85449" w:rsidRDefault="00E85449" w:rsidP="0057770F">
      <w:pPr>
        <w:rPr>
          <w:rFonts w:cstheme="minorHAnsi"/>
          <w:b/>
          <w:color w:val="FF0000"/>
        </w:rPr>
      </w:pPr>
    </w:p>
    <w:p w:rsidR="00894BEB" w:rsidRDefault="00837385" w:rsidP="0057770F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V</w:t>
      </w:r>
      <w:r w:rsidRPr="00837385">
        <w:rPr>
          <w:rFonts w:cstheme="minorHAnsi"/>
          <w:b/>
          <w:color w:val="FF0000"/>
        </w:rPr>
        <w:t xml:space="preserve"> podprogramu 2 </w:t>
      </w:r>
      <w:r>
        <w:rPr>
          <w:rFonts w:cstheme="minorHAnsi"/>
          <w:b/>
          <w:color w:val="FF0000"/>
        </w:rPr>
        <w:t>není způsobilá</w:t>
      </w:r>
      <w:r w:rsidRPr="00837385">
        <w:rPr>
          <w:rFonts w:cstheme="minorHAnsi"/>
          <w:b/>
          <w:color w:val="FF0000"/>
        </w:rPr>
        <w:t xml:space="preserve"> daň z přidané hodnoty</w:t>
      </w:r>
      <w:r>
        <w:rPr>
          <w:rFonts w:cstheme="minorHAnsi"/>
          <w:b/>
          <w:color w:val="FF0000"/>
        </w:rPr>
        <w:t>!</w:t>
      </w:r>
    </w:p>
    <w:p w:rsidR="00837385" w:rsidRPr="00837385" w:rsidRDefault="00837385" w:rsidP="0057770F">
      <w:pPr>
        <w:rPr>
          <w:rFonts w:cstheme="minorHAnsi"/>
          <w:b/>
          <w:color w:val="FF0000"/>
        </w:rPr>
      </w:pPr>
    </w:p>
    <w:p w:rsidR="00894BEB" w:rsidRPr="009660DC" w:rsidRDefault="00894BEB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Způsob podání návrhů projektů:</w:t>
      </w:r>
    </w:p>
    <w:p w:rsidR="00894BEB" w:rsidRPr="009660DC" w:rsidRDefault="00894BEB" w:rsidP="0057770F">
      <w:pPr>
        <w:rPr>
          <w:rFonts w:cstheme="minorHAnsi"/>
          <w:b/>
        </w:rPr>
      </w:pPr>
      <w:r w:rsidRPr="009660DC">
        <w:rPr>
          <w:rFonts w:cstheme="minorHAnsi"/>
          <w:b/>
        </w:rPr>
        <w:t xml:space="preserve">Webový portál ISTA </w:t>
      </w:r>
      <w:hyperlink r:id="rId10" w:history="1">
        <w:r w:rsidRPr="009660DC">
          <w:rPr>
            <w:rStyle w:val="Hypertextovodkaz"/>
            <w:rFonts w:cstheme="minorHAnsi"/>
            <w:b/>
          </w:rPr>
          <w:t>https://ista.tacr.cz/ISTA/action/Login/?actionId=26177460554028970&amp;step=0&amp;ts=1560349268592&amp;hash=PIPB5ah8Cwz2I7whWtNq7A==&amp;nbl=true</w:t>
        </w:r>
      </w:hyperlink>
    </w:p>
    <w:p w:rsidR="00894BEB" w:rsidRPr="009660DC" w:rsidRDefault="00894BEB" w:rsidP="0057770F">
      <w:pPr>
        <w:rPr>
          <w:rFonts w:cstheme="minorHAnsi"/>
          <w:b/>
        </w:rPr>
      </w:pPr>
    </w:p>
    <w:p w:rsidR="00894BEB" w:rsidRPr="009660DC" w:rsidRDefault="00894BEB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Požadavky na způsobilost:</w:t>
      </w:r>
    </w:p>
    <w:p w:rsidR="009A6497" w:rsidRPr="009660DC" w:rsidRDefault="009A6497" w:rsidP="00FD6332">
      <w:pPr>
        <w:rPr>
          <w:rFonts w:cstheme="minorHAnsi"/>
        </w:rPr>
      </w:pPr>
      <w:r w:rsidRPr="009660DC">
        <w:rPr>
          <w:rFonts w:cstheme="minorHAnsi"/>
          <w:b/>
        </w:rPr>
        <w:t>Čestné prohlášení za uchazeče – bude zajištěno rektorátem prostřednictvím datové schránky centrálně za všechny projekty ve lhůtě stanovené poskytovatelem.</w:t>
      </w:r>
      <w:r w:rsidR="00FD6332" w:rsidRPr="009660DC">
        <w:rPr>
          <w:rFonts w:cstheme="minorHAnsi"/>
          <w:b/>
        </w:rPr>
        <w:t xml:space="preserve"> Každý uchazeč zasílá prohlášení ze své datové schránky a v poli věc musí být uvedeno: „Věc” uveďte „Program Prostředí pro život</w:t>
      </w:r>
      <w:r w:rsidR="00B723D0" w:rsidRPr="009660DC">
        <w:rPr>
          <w:rFonts w:cstheme="minorHAnsi"/>
          <w:b/>
        </w:rPr>
        <w:t>“</w:t>
      </w:r>
      <w:r w:rsidR="00FD6332" w:rsidRPr="009660DC">
        <w:rPr>
          <w:rFonts w:cstheme="minorHAnsi"/>
          <w:b/>
        </w:rPr>
        <w:t xml:space="preserve"> –Prokázání způsobilosti“ </w:t>
      </w:r>
      <w:r w:rsidR="00FD6332" w:rsidRPr="009660DC">
        <w:rPr>
          <w:rFonts w:cstheme="minorHAnsi"/>
        </w:rPr>
        <w:t>(ID datové schránky: afth9xp);</w:t>
      </w:r>
    </w:p>
    <w:p w:rsidR="00FD6332" w:rsidRPr="009660DC" w:rsidRDefault="00B723D0" w:rsidP="00B723D0">
      <w:pPr>
        <w:rPr>
          <w:rFonts w:cstheme="minorHAnsi"/>
          <w:b/>
        </w:rPr>
      </w:pPr>
      <w:r w:rsidRPr="009660DC">
        <w:rPr>
          <w:rFonts w:cstheme="minorHAnsi"/>
          <w:b/>
        </w:rPr>
        <w:t>V případě, že další účastník nemá datovou schránku, může čestné prohlášení poslat listině jako zahraniční další účastník.</w:t>
      </w:r>
      <w:r w:rsidRPr="009660DC">
        <w:rPr>
          <w:rFonts w:cstheme="minorHAnsi"/>
          <w:b/>
        </w:rPr>
        <w:cr/>
      </w:r>
      <w:r w:rsidR="00FD6332" w:rsidRPr="009660DC">
        <w:rPr>
          <w:rFonts w:cstheme="minorHAnsi"/>
          <w:b/>
        </w:rPr>
        <w:t xml:space="preserve">. </w:t>
      </w:r>
    </w:p>
    <w:p w:rsidR="00894BEB" w:rsidRDefault="009A6497" w:rsidP="009A6497">
      <w:pPr>
        <w:rPr>
          <w:rFonts w:cstheme="minorHAnsi"/>
          <w:b/>
        </w:rPr>
      </w:pPr>
      <w:r w:rsidRPr="009660DC">
        <w:rPr>
          <w:rFonts w:cstheme="minorHAnsi"/>
          <w:b/>
        </w:rPr>
        <w:t>VUT splňuje povinnost zveřejnit účetní závěrku tím, že vydává výroční zprávu o hospodaření.</w:t>
      </w:r>
    </w:p>
    <w:p w:rsidR="00497FD6" w:rsidRPr="00497FD6" w:rsidRDefault="00497FD6" w:rsidP="00497FD6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</w:t>
      </w:r>
      <w:r w:rsidRPr="00497FD6">
        <w:rPr>
          <w:rFonts w:cstheme="minorHAnsi"/>
          <w:b/>
          <w:color w:val="FF0000"/>
        </w:rPr>
        <w:t>chazeči musí být zapsaní v evidenci skutečných majitelů. Pokud uchazeč není zapsán v evidenci skutečných majitelů do termínu konce soutěžní lhůty, tedy do 14. 9. 2022, nepřijme TAČR návrh projektu do veřejné soutěže.</w:t>
      </w:r>
    </w:p>
    <w:p w:rsidR="003452D3" w:rsidRPr="009660DC" w:rsidRDefault="003452D3" w:rsidP="0057770F">
      <w:pPr>
        <w:rPr>
          <w:rFonts w:cstheme="minorHAnsi"/>
          <w:b/>
          <w:i/>
          <w:color w:val="0070C0"/>
          <w:sz w:val="28"/>
          <w:szCs w:val="28"/>
        </w:rPr>
      </w:pPr>
    </w:p>
    <w:p w:rsidR="00894BEB" w:rsidRPr="009660DC" w:rsidRDefault="003206E0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Návrh projektu:</w:t>
      </w:r>
    </w:p>
    <w:p w:rsidR="003206E0" w:rsidRPr="009660DC" w:rsidRDefault="003206E0" w:rsidP="0057770F">
      <w:pPr>
        <w:rPr>
          <w:rFonts w:cstheme="minorHAnsi"/>
        </w:rPr>
      </w:pPr>
      <w:r w:rsidRPr="009660DC">
        <w:rPr>
          <w:rFonts w:cstheme="minorHAnsi"/>
        </w:rPr>
        <w:t>Při spolupráci více uchazečů je nutné v návrhu popsat způsob řízení, rozdělení práv a přístup k výstupům a výsledkům (bude se promítat do smlouvy mezi uchazeči)</w:t>
      </w:r>
      <w:r w:rsidR="00A01D4F">
        <w:rPr>
          <w:rFonts w:cstheme="minorHAnsi"/>
        </w:rPr>
        <w:t xml:space="preserve">. Velkou roli při hodnocení návrhu také hraje vymezení se vůči obdobným projektům a novosti navrhovaného řešení. </w:t>
      </w:r>
    </w:p>
    <w:p w:rsidR="003452D3" w:rsidRPr="009660DC" w:rsidRDefault="003452D3" w:rsidP="0057770F">
      <w:pPr>
        <w:rPr>
          <w:rFonts w:cstheme="minorHAnsi"/>
          <w:b/>
          <w:i/>
          <w:color w:val="0070C0"/>
          <w:sz w:val="28"/>
          <w:szCs w:val="28"/>
        </w:rPr>
      </w:pPr>
    </w:p>
    <w:p w:rsidR="003206E0" w:rsidRPr="009660DC" w:rsidRDefault="003206E0" w:rsidP="0057770F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Povinné přílohy:</w:t>
      </w:r>
    </w:p>
    <w:p w:rsidR="003206E0" w:rsidRPr="00497FD6" w:rsidRDefault="003206E0" w:rsidP="003206E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497FD6">
        <w:rPr>
          <w:rFonts w:cstheme="minorHAnsi"/>
        </w:rPr>
        <w:t xml:space="preserve">pro typ výsledku </w:t>
      </w:r>
      <w:proofErr w:type="spellStart"/>
      <w:r w:rsidRPr="00497FD6">
        <w:rPr>
          <w:rFonts w:cstheme="minorHAnsi"/>
        </w:rPr>
        <w:t>N</w:t>
      </w:r>
      <w:r w:rsidRPr="00497FD6">
        <w:rPr>
          <w:rFonts w:cstheme="minorHAnsi"/>
          <w:vertAlign w:val="subscript"/>
        </w:rPr>
        <w:t>metS</w:t>
      </w:r>
      <w:proofErr w:type="spellEnd"/>
      <w:r w:rsidRPr="00497FD6">
        <w:rPr>
          <w:rFonts w:cstheme="minorHAnsi"/>
        </w:rPr>
        <w:t xml:space="preserve"> - Formulář potvrzení zájmu příslušného orgánu státní správy</w:t>
      </w:r>
    </w:p>
    <w:p w:rsidR="003206E0" w:rsidRPr="00497FD6" w:rsidRDefault="003206E0" w:rsidP="003206E0">
      <w:pPr>
        <w:pStyle w:val="Odstavecseseznamem"/>
        <w:numPr>
          <w:ilvl w:val="0"/>
          <w:numId w:val="3"/>
        </w:numPr>
        <w:rPr>
          <w:rFonts w:cstheme="minorHAnsi"/>
        </w:rPr>
      </w:pPr>
      <w:r w:rsidRPr="00497FD6">
        <w:rPr>
          <w:rFonts w:cstheme="minorHAnsi"/>
        </w:rPr>
        <w:t>pro typ výsledku P – Patentová rešerše</w:t>
      </w:r>
    </w:p>
    <w:p w:rsidR="003452D3" w:rsidRPr="00497FD6" w:rsidRDefault="003206E0" w:rsidP="000A264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497FD6">
        <w:rPr>
          <w:rFonts w:cstheme="minorHAnsi"/>
        </w:rPr>
        <w:t>údaje k</w:t>
      </w:r>
      <w:r w:rsidR="003452D3" w:rsidRPr="00497FD6">
        <w:rPr>
          <w:rFonts w:cstheme="minorHAnsi"/>
        </w:rPr>
        <w:t> uplatnitelnosti výstupů/výsledků v praxi (</w:t>
      </w:r>
      <w:proofErr w:type="spellStart"/>
      <w:r w:rsidR="003452D3" w:rsidRPr="00497FD6">
        <w:rPr>
          <w:rFonts w:cstheme="minorHAnsi"/>
        </w:rPr>
        <w:t>Letter</w:t>
      </w:r>
      <w:proofErr w:type="spellEnd"/>
      <w:r w:rsidR="003452D3" w:rsidRPr="00497FD6">
        <w:rPr>
          <w:rFonts w:cstheme="minorHAnsi"/>
        </w:rPr>
        <w:t xml:space="preserve"> </w:t>
      </w:r>
      <w:proofErr w:type="spellStart"/>
      <w:r w:rsidR="003452D3" w:rsidRPr="00497FD6">
        <w:rPr>
          <w:rFonts w:cstheme="minorHAnsi"/>
        </w:rPr>
        <w:t>of</w:t>
      </w:r>
      <w:proofErr w:type="spellEnd"/>
      <w:r w:rsidR="003452D3" w:rsidRPr="00497FD6">
        <w:rPr>
          <w:rFonts w:cstheme="minorHAnsi"/>
        </w:rPr>
        <w:t xml:space="preserve"> </w:t>
      </w:r>
      <w:proofErr w:type="spellStart"/>
      <w:r w:rsidR="003452D3" w:rsidRPr="00497FD6">
        <w:rPr>
          <w:rFonts w:cstheme="minorHAnsi"/>
        </w:rPr>
        <w:t>intent</w:t>
      </w:r>
      <w:proofErr w:type="spellEnd"/>
      <w:r w:rsidR="003452D3" w:rsidRPr="00497FD6">
        <w:rPr>
          <w:rFonts w:cstheme="minorHAnsi"/>
        </w:rPr>
        <w:t xml:space="preserve">, projevení zájmu, příslib spolupráce veřejné správy, certifikace, příslib pilotního testování </w:t>
      </w:r>
      <w:proofErr w:type="gramStart"/>
      <w:r w:rsidR="003452D3" w:rsidRPr="00497FD6">
        <w:rPr>
          <w:rFonts w:cstheme="minorHAnsi"/>
        </w:rPr>
        <w:t>apod. )</w:t>
      </w:r>
      <w:proofErr w:type="gramEnd"/>
    </w:p>
    <w:p w:rsidR="00497FD6" w:rsidRPr="00497FD6" w:rsidRDefault="00497FD6" w:rsidP="000A264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497FD6">
        <w:rPr>
          <w:rFonts w:cstheme="minorHAnsi"/>
        </w:rPr>
        <w:t>pro PP1 je povinná příloha za externího aplikačního garanta, která nemůže být dodatečně doložena</w:t>
      </w:r>
    </w:p>
    <w:p w:rsidR="00497FD6" w:rsidRPr="00497FD6" w:rsidRDefault="00497FD6" w:rsidP="000A264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497FD6">
        <w:rPr>
          <w:rFonts w:cstheme="minorHAnsi"/>
        </w:rPr>
        <w:lastRenderedPageBreak/>
        <w:t>pro PP2 je povinnou přílohou  Příloha č. 4 – Prohlášení o dodržování zásady „významně nepoškozovat“ v podprogramu 2</w:t>
      </w:r>
    </w:p>
    <w:p w:rsidR="008A1221" w:rsidRPr="009660DC" w:rsidRDefault="008A1221" w:rsidP="003206E0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Výsledky:</w:t>
      </w:r>
    </w:p>
    <w:p w:rsidR="008A1221" w:rsidRPr="00D41249" w:rsidRDefault="008A1221" w:rsidP="008A1221">
      <w:pPr>
        <w:pStyle w:val="Odstavecseseznamem"/>
        <w:numPr>
          <w:ilvl w:val="0"/>
          <w:numId w:val="19"/>
        </w:numPr>
        <w:rPr>
          <w:rFonts w:cstheme="minorHAnsi"/>
          <w:b/>
          <w:i/>
          <w:color w:val="0070C0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5729"/>
        <w:gridCol w:w="1120"/>
        <w:gridCol w:w="975"/>
      </w:tblGrid>
      <w:tr w:rsidR="00D41249" w:rsidTr="00D41249">
        <w:trPr>
          <w:jc w:val="center"/>
        </w:trPr>
        <w:tc>
          <w:tcPr>
            <w:tcW w:w="1238" w:type="dxa"/>
            <w:vMerge w:val="restart"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Kód výsledku</w:t>
            </w:r>
          </w:p>
        </w:tc>
        <w:tc>
          <w:tcPr>
            <w:tcW w:w="5729" w:type="dxa"/>
            <w:vMerge w:val="restart"/>
            <w:vAlign w:val="center"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Název výsledku</w:t>
            </w:r>
          </w:p>
        </w:tc>
        <w:tc>
          <w:tcPr>
            <w:tcW w:w="2095" w:type="dxa"/>
            <w:gridSpan w:val="2"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Podprogram</w:t>
            </w:r>
          </w:p>
        </w:tc>
      </w:tr>
      <w:tr w:rsidR="00D41249" w:rsidTr="00D41249">
        <w:trPr>
          <w:jc w:val="center"/>
        </w:trPr>
        <w:tc>
          <w:tcPr>
            <w:tcW w:w="1238" w:type="dxa"/>
            <w:vMerge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729" w:type="dxa"/>
            <w:vMerge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120" w:type="dxa"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D41249" w:rsidRDefault="00D41249" w:rsidP="00C33549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2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r>
              <w:t>P</w:t>
            </w:r>
          </w:p>
        </w:tc>
        <w:tc>
          <w:tcPr>
            <w:tcW w:w="5729" w:type="dxa"/>
          </w:tcPr>
          <w:p w:rsidR="00D41249" w:rsidRPr="009A2DA9" w:rsidRDefault="00D41249" w:rsidP="00D41249">
            <w:r>
              <w:t>Patent (povinnou přílohou je patentová rešerše)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Gprot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 w:rsidRPr="009A2DA9">
              <w:t>Prototyp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Gfunk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 w:rsidRPr="009A2DA9">
              <w:t>Funkční vzorek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r w:rsidRPr="009A2DA9">
              <w:t>R</w:t>
            </w:r>
          </w:p>
        </w:tc>
        <w:tc>
          <w:tcPr>
            <w:tcW w:w="5729" w:type="dxa"/>
          </w:tcPr>
          <w:p w:rsidR="00D41249" w:rsidRPr="009A2DA9" w:rsidRDefault="00D41249" w:rsidP="00D41249">
            <w:r>
              <w:t>software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NmetS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 xml:space="preserve">metodika schválená příslušným orgánem státní správy, do jehož kompetence daná problematika spadá – povinnou přílohou je Formulář pro druh výsledku </w:t>
            </w:r>
            <w:proofErr w:type="spellStart"/>
            <w:r>
              <w:t>NmetS</w:t>
            </w:r>
            <w:proofErr w:type="spellEnd"/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-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NmetC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metodiky certifikované oprávněným orgánem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-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NmetA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metodiky a postupy akreditované oprávněným orgánem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-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Nmap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specializovaná mapa s odborným obsahem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Hneleg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výsledky promítnuté do směrnic a předpisů nelegislativní povahy závazných v rámci kompetence příslušného poskytovatele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-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>
              <w:t>Vsouhrn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souhrnná výzkumná zpráva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Zpolop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poloprovoz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proofErr w:type="spellStart"/>
            <w:r w:rsidRPr="009A2DA9">
              <w:t>Ztech</w:t>
            </w:r>
            <w:proofErr w:type="spellEnd"/>
          </w:p>
        </w:tc>
        <w:tc>
          <w:tcPr>
            <w:tcW w:w="5729" w:type="dxa"/>
          </w:tcPr>
          <w:p w:rsidR="00D41249" w:rsidRPr="009A2DA9" w:rsidRDefault="00D41249" w:rsidP="00D41249">
            <w:r>
              <w:t>Ověřená technologie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r>
              <w:t>S</w:t>
            </w:r>
          </w:p>
        </w:tc>
        <w:tc>
          <w:tcPr>
            <w:tcW w:w="5729" w:type="dxa"/>
          </w:tcPr>
          <w:p w:rsidR="00F71A82" w:rsidRPr="009A2DA9" w:rsidRDefault="00F71A82" w:rsidP="00F71A82">
            <w:r>
              <w:t>Specializovaná veřejná databáze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proofErr w:type="spellStart"/>
            <w:r>
              <w:t>Jimp</w:t>
            </w:r>
            <w:proofErr w:type="spellEnd"/>
            <w:r>
              <w:t>*</w:t>
            </w:r>
          </w:p>
        </w:tc>
        <w:tc>
          <w:tcPr>
            <w:tcW w:w="5729" w:type="dxa"/>
          </w:tcPr>
          <w:p w:rsidR="00F71A82" w:rsidRPr="009A2DA9" w:rsidRDefault="00F71A82" w:rsidP="00F71A82">
            <w:r>
              <w:t xml:space="preserve">původní/přehledový 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r>
              <w:t>JSC</w:t>
            </w:r>
          </w:p>
        </w:tc>
        <w:tc>
          <w:tcPr>
            <w:tcW w:w="5729" w:type="dxa"/>
          </w:tcPr>
          <w:p w:rsidR="00F71A82" w:rsidRPr="009A2DA9" w:rsidRDefault="00F71A82" w:rsidP="00F71A82">
            <w:r>
              <w:t>původní/přehledový článek v recenzovaném odborném periodiku, který je obsažen v databázi SCOPUS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proofErr w:type="spellStart"/>
            <w:r>
              <w:t>Jost</w:t>
            </w:r>
            <w:proofErr w:type="spellEnd"/>
          </w:p>
        </w:tc>
        <w:tc>
          <w:tcPr>
            <w:tcW w:w="5729" w:type="dxa"/>
          </w:tcPr>
          <w:p w:rsidR="00F71A82" w:rsidRPr="009A2DA9" w:rsidRDefault="00F71A82" w:rsidP="00F71A82">
            <w:r>
              <w:t>původní/přehledový článek v recenzovaném odborném periodiku, které nespadá do žádné z výše uvedených skupin. Seznam recenzovaných neimpaktovaných periodik se nepoužije. Rozhodující je, zda recenzovaný odborný článek splňuje obecné požadavky na tento druh výsledku a prošel řádně procesem recenzního řízení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r>
              <w:t>B</w:t>
            </w:r>
          </w:p>
        </w:tc>
        <w:tc>
          <w:tcPr>
            <w:tcW w:w="5729" w:type="dxa"/>
          </w:tcPr>
          <w:p w:rsidR="00F71A82" w:rsidRPr="009A2DA9" w:rsidRDefault="00F71A82" w:rsidP="00F71A82">
            <w:r>
              <w:t>Odborná kniha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r>
              <w:t>C</w:t>
            </w:r>
          </w:p>
        </w:tc>
        <w:tc>
          <w:tcPr>
            <w:tcW w:w="5729" w:type="dxa"/>
          </w:tcPr>
          <w:p w:rsidR="00F71A82" w:rsidRPr="009A2DA9" w:rsidRDefault="00F71A82" w:rsidP="00F71A82">
            <w:r>
              <w:t>Kapitola v odborné knize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proofErr w:type="spellStart"/>
            <w:r>
              <w:t>Ekrit</w:t>
            </w:r>
            <w:proofErr w:type="spellEnd"/>
          </w:p>
        </w:tc>
        <w:tc>
          <w:tcPr>
            <w:tcW w:w="5729" w:type="dxa"/>
          </w:tcPr>
          <w:p w:rsidR="00F71A82" w:rsidRPr="009A2DA9" w:rsidRDefault="00F71A82" w:rsidP="00F71A82">
            <w:r>
              <w:t>uspořádání výstavy s kritickým katalogem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r>
              <w:t>M</w:t>
            </w:r>
          </w:p>
        </w:tc>
        <w:tc>
          <w:tcPr>
            <w:tcW w:w="5729" w:type="dxa"/>
          </w:tcPr>
          <w:p w:rsidR="00F71A82" w:rsidRPr="009A2DA9" w:rsidRDefault="00F71A82" w:rsidP="00F71A82">
            <w:r>
              <w:t>uspořádání konference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F71A82" w:rsidRDefault="00F71A82" w:rsidP="00F71A82">
            <w:pPr>
              <w:jc w:val="center"/>
            </w:pPr>
            <w:r>
              <w:t>-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proofErr w:type="spellStart"/>
            <w:r w:rsidRPr="009A2DA9">
              <w:t>Fprum</w:t>
            </w:r>
            <w:proofErr w:type="spellEnd"/>
          </w:p>
        </w:tc>
        <w:tc>
          <w:tcPr>
            <w:tcW w:w="5729" w:type="dxa"/>
          </w:tcPr>
          <w:p w:rsidR="00F71A82" w:rsidRPr="009A2DA9" w:rsidRDefault="00F71A82" w:rsidP="00F71A82">
            <w:r w:rsidRPr="009A2DA9">
              <w:t>Průmyslový vzor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</w:tr>
      <w:tr w:rsidR="00F71A82" w:rsidRPr="009A2DA9" w:rsidTr="00D41249">
        <w:trPr>
          <w:jc w:val="center"/>
        </w:trPr>
        <w:tc>
          <w:tcPr>
            <w:tcW w:w="1238" w:type="dxa"/>
          </w:tcPr>
          <w:p w:rsidR="00F71A82" w:rsidRPr="009A2DA9" w:rsidRDefault="00F71A82" w:rsidP="00F71A82">
            <w:pPr>
              <w:jc w:val="center"/>
            </w:pPr>
            <w:proofErr w:type="spellStart"/>
            <w:r w:rsidRPr="009A2DA9">
              <w:t>Fuzit</w:t>
            </w:r>
            <w:proofErr w:type="spellEnd"/>
          </w:p>
        </w:tc>
        <w:tc>
          <w:tcPr>
            <w:tcW w:w="5729" w:type="dxa"/>
          </w:tcPr>
          <w:p w:rsidR="00F71A82" w:rsidRPr="009A2DA9" w:rsidRDefault="00F71A82" w:rsidP="00F71A82">
            <w:r w:rsidRPr="009A2DA9">
              <w:t>Užitný vzor</w:t>
            </w:r>
          </w:p>
        </w:tc>
        <w:tc>
          <w:tcPr>
            <w:tcW w:w="1120" w:type="dxa"/>
          </w:tcPr>
          <w:p w:rsidR="00F71A82" w:rsidRPr="009A2DA9" w:rsidRDefault="00F71A82" w:rsidP="00F71A82">
            <w:pPr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F71A82" w:rsidRPr="009A2DA9" w:rsidRDefault="00F71A82" w:rsidP="00F71A82">
            <w:pPr>
              <w:jc w:val="center"/>
            </w:pPr>
            <w:r>
              <w:t>ANO</w:t>
            </w:r>
          </w:p>
        </w:tc>
      </w:tr>
      <w:tr w:rsidR="00D41249" w:rsidRPr="009A2DA9" w:rsidTr="00D41249">
        <w:trPr>
          <w:jc w:val="center"/>
        </w:trPr>
        <w:tc>
          <w:tcPr>
            <w:tcW w:w="1238" w:type="dxa"/>
          </w:tcPr>
          <w:p w:rsidR="00D41249" w:rsidRPr="009A2DA9" w:rsidRDefault="00D41249" w:rsidP="00D41249">
            <w:pPr>
              <w:jc w:val="center"/>
            </w:pPr>
            <w:r w:rsidRPr="009A2DA9">
              <w:t>O</w:t>
            </w:r>
          </w:p>
        </w:tc>
        <w:tc>
          <w:tcPr>
            <w:tcW w:w="5729" w:type="dxa"/>
          </w:tcPr>
          <w:p w:rsidR="00D41249" w:rsidRPr="009A2DA9" w:rsidRDefault="00D41249" w:rsidP="00D41249">
            <w:r>
              <w:t>Ostatní výsledky</w:t>
            </w:r>
          </w:p>
        </w:tc>
        <w:tc>
          <w:tcPr>
            <w:tcW w:w="1120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  <w:tc>
          <w:tcPr>
            <w:tcW w:w="975" w:type="dxa"/>
          </w:tcPr>
          <w:p w:rsidR="00D41249" w:rsidRPr="009A2DA9" w:rsidRDefault="00D41249" w:rsidP="00D41249">
            <w:pPr>
              <w:jc w:val="center"/>
            </w:pPr>
            <w:r>
              <w:t>ANO</w:t>
            </w:r>
          </w:p>
        </w:tc>
      </w:tr>
    </w:tbl>
    <w:p w:rsidR="00700F9B" w:rsidRPr="009660DC" w:rsidRDefault="00700F9B" w:rsidP="003206E0">
      <w:pPr>
        <w:rPr>
          <w:rFonts w:cstheme="minorHAnsi"/>
          <w:b/>
          <w:i/>
          <w:color w:val="0070C0"/>
          <w:sz w:val="28"/>
          <w:szCs w:val="28"/>
        </w:rPr>
      </w:pPr>
    </w:p>
    <w:p w:rsidR="003206E0" w:rsidRPr="009660DC" w:rsidRDefault="003206E0" w:rsidP="003206E0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Uchazeči si musí vybrat:</w:t>
      </w:r>
    </w:p>
    <w:p w:rsidR="00F3281D" w:rsidRPr="009660DC" w:rsidRDefault="00F3281D" w:rsidP="00421000">
      <w:pPr>
        <w:rPr>
          <w:rFonts w:cstheme="minorHAnsi"/>
        </w:rPr>
      </w:pPr>
      <w:r w:rsidRPr="009660DC">
        <w:rPr>
          <w:rFonts w:cstheme="minorHAnsi"/>
        </w:rPr>
        <w:lastRenderedPageBreak/>
        <w:t xml:space="preserve">Všechny následující náležitosti se vyplňují v ISTA do kapitoly 3. PŘEDSTAVENÍ PROJEKTU, záložka Vymezení projektu: </w:t>
      </w:r>
    </w:p>
    <w:p w:rsidR="006C3E01" w:rsidRPr="009660DC" w:rsidRDefault="006C3E01" w:rsidP="00F3281D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9660DC">
        <w:rPr>
          <w:rFonts w:cstheme="minorHAnsi"/>
        </w:rPr>
        <w:t xml:space="preserve">cíle Národních priorit orientovaného výzkumu, experimentálního vývoje a inovací (NPOV) - přehled cílů je uveden v dokumentu Cíle NPOV; </w:t>
      </w:r>
    </w:p>
    <w:p w:rsidR="006C3E01" w:rsidRPr="009660DC" w:rsidRDefault="006C3E01" w:rsidP="00F3281D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9660DC">
        <w:rPr>
          <w:rFonts w:cstheme="minorHAnsi"/>
        </w:rPr>
        <w:t xml:space="preserve">obory podle Centrální evidence projektů (CEP) a podle </w:t>
      </w:r>
      <w:proofErr w:type="spellStart"/>
      <w:r w:rsidRPr="009660DC">
        <w:rPr>
          <w:rFonts w:cstheme="minorHAnsi"/>
        </w:rPr>
        <w:t>Fields</w:t>
      </w:r>
      <w:proofErr w:type="spellEnd"/>
      <w:r w:rsidRPr="009660DC">
        <w:rPr>
          <w:rFonts w:cstheme="minorHAnsi"/>
        </w:rPr>
        <w:t xml:space="preserve"> </w:t>
      </w:r>
      <w:proofErr w:type="spellStart"/>
      <w:r w:rsidRPr="009660DC">
        <w:rPr>
          <w:rFonts w:cstheme="minorHAnsi"/>
        </w:rPr>
        <w:t>of</w:t>
      </w:r>
      <w:proofErr w:type="spellEnd"/>
      <w:r w:rsidRPr="009660DC">
        <w:rPr>
          <w:rFonts w:cstheme="minorHAnsi"/>
        </w:rPr>
        <w:t xml:space="preserve"> </w:t>
      </w:r>
      <w:proofErr w:type="spellStart"/>
      <w:r w:rsidRPr="009660DC">
        <w:rPr>
          <w:rFonts w:cstheme="minorHAnsi"/>
        </w:rPr>
        <w:t>Research</w:t>
      </w:r>
      <w:proofErr w:type="spellEnd"/>
      <w:r w:rsidRPr="009660DC">
        <w:rPr>
          <w:rFonts w:cstheme="minorHAnsi"/>
        </w:rPr>
        <w:t xml:space="preserve"> and </w:t>
      </w:r>
      <w:proofErr w:type="spellStart"/>
      <w:r w:rsidRPr="009660DC">
        <w:rPr>
          <w:rFonts w:cstheme="minorHAnsi"/>
        </w:rPr>
        <w:t>Development</w:t>
      </w:r>
      <w:proofErr w:type="spellEnd"/>
      <w:r w:rsidRPr="009660DC">
        <w:rPr>
          <w:rFonts w:cstheme="minorHAnsi"/>
        </w:rPr>
        <w:t xml:space="preserve"> – Oblasti výzkumu a vývoje (FORD). Zvolené obory CEP a FORD by měly být v souladu; </w:t>
      </w:r>
    </w:p>
    <w:p w:rsidR="00421000" w:rsidRPr="009660DC" w:rsidRDefault="006C3E01" w:rsidP="00F3281D">
      <w:pPr>
        <w:pStyle w:val="Odstavecseseznamem"/>
        <w:numPr>
          <w:ilvl w:val="0"/>
          <w:numId w:val="17"/>
        </w:numPr>
        <w:rPr>
          <w:rFonts w:cstheme="minorHAnsi"/>
        </w:rPr>
      </w:pPr>
      <w:r w:rsidRPr="009660DC">
        <w:rPr>
          <w:rFonts w:cstheme="minorHAnsi"/>
        </w:rPr>
        <w:t xml:space="preserve">Výzkumná podstata – dle zaměření návrhu projektu zařadíte návrh projektu do jedné ze skupin: vědy o přírodě (biologické, geografické, geologické a lékařské vědy, lesnictví, zemědělství atd.), humanitní a společenské vědy (včetně sociologie, EVVO, práva, </w:t>
      </w:r>
      <w:proofErr w:type="spellStart"/>
      <w:r w:rsidRPr="009660DC">
        <w:rPr>
          <w:rFonts w:cstheme="minorHAnsi"/>
        </w:rPr>
        <w:t>ekopsychologie</w:t>
      </w:r>
      <w:proofErr w:type="spellEnd"/>
      <w:r w:rsidRPr="009660DC">
        <w:rPr>
          <w:rFonts w:cstheme="minorHAnsi"/>
        </w:rPr>
        <w:t xml:space="preserve"> a spotřebitelského chování) nebo technické a ostatní vědy</w:t>
      </w:r>
    </w:p>
    <w:p w:rsidR="00D66035" w:rsidRPr="009660DC" w:rsidRDefault="00D66035" w:rsidP="00421000">
      <w:pPr>
        <w:rPr>
          <w:rFonts w:cstheme="minorHAnsi"/>
        </w:rPr>
      </w:pPr>
    </w:p>
    <w:p w:rsidR="00563DF1" w:rsidRPr="009660DC" w:rsidRDefault="00563DF1" w:rsidP="00563DF1">
      <w:pPr>
        <w:rPr>
          <w:rFonts w:cstheme="minorHAnsi"/>
          <w:b/>
          <w:i/>
          <w:color w:val="0070C0"/>
          <w:sz w:val="28"/>
          <w:szCs w:val="28"/>
        </w:rPr>
      </w:pPr>
      <w:r w:rsidRPr="009660DC">
        <w:rPr>
          <w:rFonts w:cstheme="minorHAnsi"/>
          <w:b/>
          <w:i/>
          <w:color w:val="0070C0"/>
          <w:sz w:val="28"/>
          <w:szCs w:val="28"/>
        </w:rPr>
        <w:t>Hodnocení:</w:t>
      </w:r>
    </w:p>
    <w:p w:rsidR="009660DC" w:rsidRDefault="009660DC" w:rsidP="009660DC">
      <w:pPr>
        <w:rPr>
          <w:rFonts w:cstheme="minorHAnsi"/>
        </w:rPr>
      </w:pPr>
      <w:r w:rsidRPr="009660DC">
        <w:rPr>
          <w:rFonts w:cstheme="minorHAnsi"/>
        </w:rPr>
        <w:t>Návrh projektu bude hodnocen</w:t>
      </w:r>
      <w:r w:rsidR="00837385">
        <w:rPr>
          <w:rFonts w:cstheme="minorHAnsi"/>
        </w:rPr>
        <w:t xml:space="preserve"> </w:t>
      </w:r>
      <w:r w:rsidRPr="009660DC">
        <w:rPr>
          <w:rFonts w:cstheme="minorHAnsi"/>
        </w:rPr>
        <w:t xml:space="preserve"> 8 bodovanými kritérii. Pokud jedno z kritérií bude bodováno 0 bodů, nemůže být projekt doporučen k financování.</w:t>
      </w:r>
    </w:p>
    <w:p w:rsidR="00837385" w:rsidRPr="00837385" w:rsidRDefault="00837385" w:rsidP="009660DC">
      <w:pPr>
        <w:rPr>
          <w:rFonts w:cstheme="minorHAnsi"/>
          <w:color w:val="FF0000"/>
        </w:rPr>
      </w:pPr>
      <w:r w:rsidRPr="00837385">
        <w:rPr>
          <w:rFonts w:cstheme="minorHAnsi"/>
          <w:color w:val="FF0000"/>
        </w:rPr>
        <w:t xml:space="preserve">Pro podprogram č. 2 platí navíc ještě jedno binární kritérium a to zda návrh projektu naplňuje všechny zásady „významně nepoškozovat“. </w:t>
      </w:r>
    </w:p>
    <w:p w:rsidR="00F26019" w:rsidRPr="00F26019" w:rsidRDefault="009660DC" w:rsidP="009660DC">
      <w:r w:rsidRPr="009660DC">
        <w:rPr>
          <w:rFonts w:cstheme="minorHAnsi"/>
        </w:rPr>
        <w:t xml:space="preserve">Podrobnosti k hodnocení jednotlivých hodnoticích stupňů, seznam hodnoticích kritérií spolu se skutečnostmi, které budou hodnoceny v rámci jednotlivých kritérií, jsou uvedeny v </w:t>
      </w:r>
      <w:r w:rsidRPr="00837385">
        <w:rPr>
          <w:rFonts w:cstheme="minorHAnsi"/>
        </w:rPr>
        <w:t xml:space="preserve">příloze </w:t>
      </w:r>
      <w:hyperlink r:id="rId11" w:history="1">
        <w:r w:rsidRPr="00837385">
          <w:rPr>
            <w:rStyle w:val="Hypertextovodkaz"/>
            <w:rFonts w:cstheme="minorHAnsi"/>
          </w:rPr>
          <w:t>Zadávací dokumentace č. 2 – Hodnoticí proces</w:t>
        </w:r>
        <w:r w:rsidRPr="00837385">
          <w:rPr>
            <w:rStyle w:val="Hypertextovodkaz"/>
          </w:rPr>
          <w:t>.</w:t>
        </w:r>
      </w:hyperlink>
    </w:p>
    <w:sectPr w:rsidR="00F26019" w:rsidRPr="00F2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1329D7"/>
    <w:multiLevelType w:val="hybridMultilevel"/>
    <w:tmpl w:val="4D3732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500726"/>
    <w:multiLevelType w:val="hybridMultilevel"/>
    <w:tmpl w:val="0CA48B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5CE996"/>
    <w:multiLevelType w:val="hybridMultilevel"/>
    <w:tmpl w:val="01416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F57B60"/>
    <w:multiLevelType w:val="hybridMultilevel"/>
    <w:tmpl w:val="305C813E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49E0"/>
    <w:multiLevelType w:val="hybridMultilevel"/>
    <w:tmpl w:val="D10A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86E34"/>
    <w:multiLevelType w:val="hybridMultilevel"/>
    <w:tmpl w:val="11B0E17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7E9"/>
    <w:multiLevelType w:val="hybridMultilevel"/>
    <w:tmpl w:val="6E8C5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1992"/>
    <w:multiLevelType w:val="hybridMultilevel"/>
    <w:tmpl w:val="E5D6FEE8"/>
    <w:lvl w:ilvl="0" w:tplc="09508C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9C24D"/>
    <w:multiLevelType w:val="hybridMultilevel"/>
    <w:tmpl w:val="9FAA40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81899"/>
    <w:multiLevelType w:val="hybridMultilevel"/>
    <w:tmpl w:val="A29E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7A73"/>
    <w:multiLevelType w:val="hybridMultilevel"/>
    <w:tmpl w:val="CFC66C1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FEC6117"/>
    <w:multiLevelType w:val="hybridMultilevel"/>
    <w:tmpl w:val="E4B6BA5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44E"/>
    <w:multiLevelType w:val="hybridMultilevel"/>
    <w:tmpl w:val="5798CE1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1675A"/>
    <w:multiLevelType w:val="hybridMultilevel"/>
    <w:tmpl w:val="687E0A00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934"/>
    <w:multiLevelType w:val="hybridMultilevel"/>
    <w:tmpl w:val="8E4A133C"/>
    <w:lvl w:ilvl="0" w:tplc="B8C86C84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3667"/>
    <w:multiLevelType w:val="hybridMultilevel"/>
    <w:tmpl w:val="8158985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A0575"/>
    <w:multiLevelType w:val="hybridMultilevel"/>
    <w:tmpl w:val="A1F5C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294A1B"/>
    <w:multiLevelType w:val="hybridMultilevel"/>
    <w:tmpl w:val="3ED4DF1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F74"/>
    <w:multiLevelType w:val="hybridMultilevel"/>
    <w:tmpl w:val="0FB031E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200BC"/>
    <w:multiLevelType w:val="hybridMultilevel"/>
    <w:tmpl w:val="A29CCED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D7846"/>
    <w:multiLevelType w:val="hybridMultilevel"/>
    <w:tmpl w:val="9238ED56"/>
    <w:lvl w:ilvl="0" w:tplc="F27ACF20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9"/>
  </w:num>
  <w:num w:numId="5">
    <w:abstractNumId w:val="20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17"/>
  </w:num>
  <w:num w:numId="14">
    <w:abstractNumId w:val="3"/>
  </w:num>
  <w:num w:numId="15">
    <w:abstractNumId w:val="24"/>
  </w:num>
  <w:num w:numId="16">
    <w:abstractNumId w:val="25"/>
  </w:num>
  <w:num w:numId="17">
    <w:abstractNumId w:val="16"/>
  </w:num>
  <w:num w:numId="18">
    <w:abstractNumId w:val="18"/>
  </w:num>
  <w:num w:numId="19">
    <w:abstractNumId w:val="21"/>
  </w:num>
  <w:num w:numId="20">
    <w:abstractNumId w:val="22"/>
  </w:num>
  <w:num w:numId="21">
    <w:abstractNumId w:val="19"/>
  </w:num>
  <w:num w:numId="22">
    <w:abstractNumId w:val="7"/>
  </w:num>
  <w:num w:numId="23">
    <w:abstractNumId w:val="15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47AF3"/>
    <w:rsid w:val="000662D1"/>
    <w:rsid w:val="00097BCB"/>
    <w:rsid w:val="000A264A"/>
    <w:rsid w:val="000E682C"/>
    <w:rsid w:val="002F5503"/>
    <w:rsid w:val="003206E0"/>
    <w:rsid w:val="003452D3"/>
    <w:rsid w:val="00347C7E"/>
    <w:rsid w:val="00421000"/>
    <w:rsid w:val="00443261"/>
    <w:rsid w:val="00450019"/>
    <w:rsid w:val="00497FD6"/>
    <w:rsid w:val="00552543"/>
    <w:rsid w:val="00563DF1"/>
    <w:rsid w:val="0057770F"/>
    <w:rsid w:val="00584ACC"/>
    <w:rsid w:val="006C3E01"/>
    <w:rsid w:val="00700F9B"/>
    <w:rsid w:val="007C2781"/>
    <w:rsid w:val="00837385"/>
    <w:rsid w:val="00894BEB"/>
    <w:rsid w:val="008A1221"/>
    <w:rsid w:val="008A31B0"/>
    <w:rsid w:val="009660DC"/>
    <w:rsid w:val="00986FDE"/>
    <w:rsid w:val="009A6497"/>
    <w:rsid w:val="009F357C"/>
    <w:rsid w:val="00A01D4F"/>
    <w:rsid w:val="00A24015"/>
    <w:rsid w:val="00A5483D"/>
    <w:rsid w:val="00AD3531"/>
    <w:rsid w:val="00B723D0"/>
    <w:rsid w:val="00C10D9F"/>
    <w:rsid w:val="00CD1210"/>
    <w:rsid w:val="00CD4C16"/>
    <w:rsid w:val="00D41249"/>
    <w:rsid w:val="00D66035"/>
    <w:rsid w:val="00E00838"/>
    <w:rsid w:val="00E13EC8"/>
    <w:rsid w:val="00E85449"/>
    <w:rsid w:val="00EB3EF0"/>
    <w:rsid w:val="00F148C0"/>
    <w:rsid w:val="00F26019"/>
    <w:rsid w:val="00F3281D"/>
    <w:rsid w:val="00F71A82"/>
    <w:rsid w:val="00FA37B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097B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281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4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vyhlaseni-6-verejne-souteze-programu-prostredi-pro-zivo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wp-content/uploads/documents/2022/06/28/1656425257_P%C5%99%C3%ADloha%20%C4%8D.%202%20-%20Hodnotic%C3%AD%20proces.pdf" TargetMode="External"/><Relationship Id="rId5" Type="http://schemas.openxmlformats.org/officeDocument/2006/relationships/hyperlink" Target="mailto:legatova@vutbr.cz" TargetMode="External"/><Relationship Id="rId10" Type="http://schemas.openxmlformats.org/officeDocument/2006/relationships/hyperlink" Target="https://ista.tacr.cz/ISTA/action/Login/?actionId=26177460554028970&amp;step=0&amp;ts=1560349268592&amp;hash=PIPB5ah8Cwz2I7whWtNq7A==&amp;nbl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r.cz/wp-content/uploads/documents/2022/06/28/1656425160_P%C5%99iloha%20%C4%8D.%205%20-%20Aplika%C4%8Dn%C3%AD%20garant%20v%20podprogramu%20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1682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2022-06-30T10:15:00Z</dcterms:created>
  <dcterms:modified xsi:type="dcterms:W3CDTF">2022-06-30T10:15:00Z</dcterms:modified>
</cp:coreProperties>
</file>