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44" w:rsidRPr="005F4E49" w:rsidRDefault="00522E05" w:rsidP="005F4E49">
      <w:pPr>
        <w:ind w:left="360"/>
        <w:rPr>
          <w:rStyle w:val="subheading-category1"/>
          <w:b/>
          <w:caps w:val="0"/>
          <w:color w:val="2F5496" w:themeColor="accent5" w:themeShade="BF"/>
          <w:sz w:val="32"/>
          <w:szCs w:val="32"/>
        </w:rPr>
      </w:pPr>
      <w:r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4</w:t>
      </w:r>
      <w:r w:rsidR="005F4E49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 xml:space="preserve">. </w:t>
      </w:r>
      <w:r w:rsidR="0057770F" w:rsidRPr="005F4E49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 xml:space="preserve">veřejná soutěž programu </w:t>
      </w:r>
      <w:r w:rsidR="00BE6CDC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DELTA2</w:t>
      </w:r>
    </w:p>
    <w:p w:rsidR="0057770F" w:rsidRDefault="0057770F" w:rsidP="0057770F"/>
    <w:p w:rsidR="0057770F" w:rsidRPr="005E71F4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Důležité termíny:</w:t>
      </w:r>
    </w:p>
    <w:p w:rsidR="0057770F" w:rsidRPr="0057770F" w:rsidRDefault="0057770F" w:rsidP="007C2781">
      <w:pPr>
        <w:spacing w:line="240" w:lineRule="auto"/>
        <w:rPr>
          <w:b/>
        </w:rPr>
      </w:pPr>
      <w:r>
        <w:t xml:space="preserve">Soutěžní lhůta začíná: </w:t>
      </w:r>
      <w:r w:rsidR="00CF3509">
        <w:rPr>
          <w:b/>
        </w:rPr>
        <w:t>1</w:t>
      </w:r>
      <w:r w:rsidR="00CA7EB0">
        <w:rPr>
          <w:b/>
        </w:rPr>
        <w:t>9</w:t>
      </w:r>
      <w:r w:rsidR="00CF3509">
        <w:rPr>
          <w:b/>
        </w:rPr>
        <w:t>. 5</w:t>
      </w:r>
      <w:r w:rsidR="005F4E49">
        <w:rPr>
          <w:b/>
        </w:rPr>
        <w:t>.</w:t>
      </w:r>
      <w:r w:rsidR="00CF3509">
        <w:rPr>
          <w:b/>
        </w:rPr>
        <w:t xml:space="preserve"> </w:t>
      </w:r>
      <w:r w:rsidR="005F4E49">
        <w:rPr>
          <w:b/>
        </w:rPr>
        <w:t>202</w:t>
      </w:r>
      <w:r w:rsidR="00CA7EB0">
        <w:rPr>
          <w:b/>
        </w:rPr>
        <w:t>2</w:t>
      </w:r>
    </w:p>
    <w:p w:rsidR="0057770F" w:rsidRDefault="0057770F" w:rsidP="007C2781">
      <w:pPr>
        <w:spacing w:line="240" w:lineRule="auto"/>
      </w:pPr>
      <w:r>
        <w:t xml:space="preserve">Soutěžní lhůta končí: </w:t>
      </w:r>
      <w:r w:rsidR="00CF3509">
        <w:rPr>
          <w:b/>
        </w:rPr>
        <w:t>1</w:t>
      </w:r>
      <w:r w:rsidR="00CA7EB0">
        <w:rPr>
          <w:b/>
        </w:rPr>
        <w:t>3</w:t>
      </w:r>
      <w:r w:rsidR="00CF3509">
        <w:rPr>
          <w:b/>
        </w:rPr>
        <w:t>. 7. 202</w:t>
      </w:r>
      <w:r w:rsidR="00CA7EB0">
        <w:rPr>
          <w:b/>
        </w:rPr>
        <w:t>2</w:t>
      </w:r>
      <w:r>
        <w:t xml:space="preserve"> do 1</w:t>
      </w:r>
      <w:r w:rsidR="00CC39C8">
        <w:t>6</w:t>
      </w:r>
      <w:r>
        <w:t xml:space="preserve">.30 pro podání projektu; </w:t>
      </w:r>
    </w:p>
    <w:p w:rsidR="0057770F" w:rsidRDefault="00CF3509" w:rsidP="007C2781">
      <w:pPr>
        <w:spacing w:line="240" w:lineRule="auto"/>
        <w:ind w:left="2937"/>
      </w:pPr>
      <w:r>
        <w:t xml:space="preserve"> </w:t>
      </w:r>
      <w:r w:rsidR="0057770F">
        <w:t xml:space="preserve">do 23.59 pro zaslání Potvrzení podání elektronického návrhu a    </w:t>
      </w:r>
      <w:r>
        <w:t xml:space="preserve"> </w:t>
      </w:r>
      <w:r w:rsidR="0057770F">
        <w:t>potvrzení způsobilosti uchazeče</w:t>
      </w:r>
      <w:r>
        <w:t xml:space="preserve"> z datové schránky hlavního uchazeče na datovou schránku TAČR</w:t>
      </w:r>
      <w:r w:rsidR="005918A0">
        <w:t xml:space="preserve">, v datovém poli Věc bude uvedeno: </w:t>
      </w:r>
      <w:r w:rsidR="005918A0" w:rsidRPr="005918A0">
        <w:t>„Program DELTA 2 – Potvrzení podání“</w:t>
      </w:r>
      <w:r>
        <w:t xml:space="preserve">, </w:t>
      </w:r>
      <w:r>
        <w:rPr>
          <w:rFonts w:ascii="Open Sans" w:hAnsi="Open Sans" w:cs="Segoe UI"/>
          <w:color w:val="292929"/>
        </w:rPr>
        <w:t>ID datové schránky TA ČR: afth9xp</w:t>
      </w:r>
    </w:p>
    <w:p w:rsidR="00894BEB" w:rsidRPr="00DA38BF" w:rsidRDefault="00894BEB" w:rsidP="007C2781">
      <w:pPr>
        <w:spacing w:line="240" w:lineRule="auto"/>
        <w:rPr>
          <w:b/>
        </w:rPr>
      </w:pPr>
      <w:r w:rsidRPr="00DA38BF">
        <w:t>Vyhlášení výsledků soutěže:</w:t>
      </w:r>
      <w:r w:rsidRPr="00DA38BF">
        <w:rPr>
          <w:b/>
        </w:rPr>
        <w:t xml:space="preserve"> do </w:t>
      </w:r>
      <w:r w:rsidR="006A5CBC" w:rsidRPr="00DA38BF">
        <w:rPr>
          <w:b/>
        </w:rPr>
        <w:t>30</w:t>
      </w:r>
      <w:r w:rsidR="00AF3498" w:rsidRPr="00DA38BF">
        <w:rPr>
          <w:b/>
        </w:rPr>
        <w:t>. 11. 202</w:t>
      </w:r>
      <w:r w:rsidR="00CA7EB0">
        <w:rPr>
          <w:b/>
        </w:rPr>
        <w:t>2</w:t>
      </w:r>
    </w:p>
    <w:p w:rsidR="00894BEB" w:rsidRDefault="00894BEB" w:rsidP="007C2781">
      <w:pPr>
        <w:spacing w:line="240" w:lineRule="auto"/>
        <w:rPr>
          <w:b/>
        </w:rPr>
      </w:pPr>
      <w:r w:rsidRPr="00DA38BF">
        <w:t>Zahájení řešení projektu:</w:t>
      </w:r>
      <w:r w:rsidRPr="00DA38BF">
        <w:rPr>
          <w:b/>
        </w:rPr>
        <w:t xml:space="preserve"> </w:t>
      </w:r>
      <w:r w:rsidR="00364EAC">
        <w:rPr>
          <w:b/>
        </w:rPr>
        <w:t>leden</w:t>
      </w:r>
      <w:r w:rsidR="00AF3498" w:rsidRPr="00DA38BF">
        <w:rPr>
          <w:b/>
        </w:rPr>
        <w:t xml:space="preserve"> 202</w:t>
      </w:r>
      <w:r w:rsidR="00CA7EB0">
        <w:rPr>
          <w:b/>
        </w:rPr>
        <w:t>3</w:t>
      </w:r>
      <w:r w:rsidR="00AF3498" w:rsidRPr="00DA38BF">
        <w:rPr>
          <w:b/>
        </w:rPr>
        <w:t xml:space="preserve"> – </w:t>
      </w:r>
      <w:r w:rsidR="00364EAC">
        <w:rPr>
          <w:b/>
        </w:rPr>
        <w:t>březen</w:t>
      </w:r>
      <w:r w:rsidR="00AF3498" w:rsidRPr="00DA38BF">
        <w:rPr>
          <w:b/>
        </w:rPr>
        <w:t xml:space="preserve"> 202</w:t>
      </w:r>
      <w:r w:rsidR="00CA7EB0">
        <w:rPr>
          <w:b/>
        </w:rPr>
        <w:t>3</w:t>
      </w:r>
    </w:p>
    <w:p w:rsidR="00DA38BF" w:rsidRPr="00DA38BF" w:rsidRDefault="00DA38BF" w:rsidP="007C2781">
      <w:pPr>
        <w:spacing w:line="240" w:lineRule="auto"/>
        <w:rPr>
          <w:b/>
        </w:rPr>
      </w:pPr>
      <w:r w:rsidRPr="00866992">
        <w:t>Nejzazší termín ukončení řešení projektu</w:t>
      </w:r>
      <w:r w:rsidR="00866992" w:rsidRPr="00866992">
        <w:t>:</w:t>
      </w:r>
      <w:r w:rsidR="00866992">
        <w:rPr>
          <w:b/>
        </w:rPr>
        <w:t xml:space="preserve"> </w:t>
      </w:r>
      <w:r w:rsidR="001B5539">
        <w:rPr>
          <w:b/>
        </w:rPr>
        <w:t>prosinec 2025</w:t>
      </w:r>
    </w:p>
    <w:p w:rsidR="00894BEB" w:rsidRDefault="00894BEB" w:rsidP="007C2781">
      <w:pPr>
        <w:spacing w:line="240" w:lineRule="auto"/>
        <w:rPr>
          <w:b/>
        </w:rPr>
      </w:pPr>
      <w:r w:rsidRPr="00DA38BF">
        <w:t>Délka řešení projektu:</w:t>
      </w:r>
      <w:r w:rsidRPr="00DA38BF">
        <w:rPr>
          <w:b/>
        </w:rPr>
        <w:t xml:space="preserve"> 12 – </w:t>
      </w:r>
      <w:r w:rsidR="00DA38BF" w:rsidRPr="00DA38BF">
        <w:rPr>
          <w:b/>
        </w:rPr>
        <w:t>36</w:t>
      </w:r>
      <w:r w:rsidRPr="00DA38BF">
        <w:rPr>
          <w:b/>
        </w:rPr>
        <w:t xml:space="preserve"> měsíců</w:t>
      </w:r>
    </w:p>
    <w:p w:rsidR="0057770F" w:rsidRDefault="0057770F" w:rsidP="0057770F">
      <w:pPr>
        <w:rPr>
          <w:b/>
        </w:rPr>
      </w:pPr>
    </w:p>
    <w:p w:rsidR="005E71F4" w:rsidRPr="008F2375" w:rsidRDefault="005E71F4" w:rsidP="005E71F4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Kontaktní osoby:</w:t>
      </w:r>
    </w:p>
    <w:p w:rsidR="005E71F4" w:rsidRDefault="005E71F4" w:rsidP="005E71F4">
      <w:pPr>
        <w:rPr>
          <w:b/>
        </w:rPr>
      </w:pPr>
      <w:r>
        <w:rPr>
          <w:b/>
        </w:rPr>
        <w:t>Soutěž TAČR na VUT Brno – Ing. Martina Legátová (</w:t>
      </w:r>
      <w:hyperlink r:id="rId5" w:history="1">
        <w:r w:rsidR="00A37535" w:rsidRPr="00C27D7E">
          <w:rPr>
            <w:rStyle w:val="Hypertextovodkaz"/>
            <w:b/>
          </w:rPr>
          <w:t>legatova@vutbr.cz</w:t>
        </w:r>
      </w:hyperlink>
      <w:r>
        <w:rPr>
          <w:b/>
        </w:rPr>
        <w:t>, kl. 5237)</w:t>
      </w:r>
    </w:p>
    <w:p w:rsidR="005E71F4" w:rsidRDefault="005E71F4" w:rsidP="005E71F4">
      <w:pPr>
        <w:rPr>
          <w:b/>
        </w:rPr>
      </w:pPr>
      <w:r>
        <w:rPr>
          <w:b/>
        </w:rPr>
        <w:t xml:space="preserve">Duševní vlastnictví, </w:t>
      </w:r>
      <w:proofErr w:type="spellStart"/>
      <w:r w:rsidR="00BE6CDC">
        <w:rPr>
          <w:b/>
        </w:rPr>
        <w:t>Common</w:t>
      </w:r>
      <w:proofErr w:type="spellEnd"/>
      <w:r w:rsidR="00BE6CDC">
        <w:rPr>
          <w:b/>
        </w:rPr>
        <w:t xml:space="preserve"> </w:t>
      </w:r>
      <w:proofErr w:type="spellStart"/>
      <w:r w:rsidR="00BE6CDC">
        <w:rPr>
          <w:b/>
        </w:rPr>
        <w:t>Proposal</w:t>
      </w:r>
      <w:proofErr w:type="spellEnd"/>
      <w:r>
        <w:rPr>
          <w:b/>
        </w:rPr>
        <w:t xml:space="preserve">– OTT – </w:t>
      </w:r>
      <w:r w:rsidR="00CA7EB0">
        <w:rPr>
          <w:b/>
        </w:rPr>
        <w:t xml:space="preserve">Mgr. Michaela Daňková </w:t>
      </w:r>
      <w:r>
        <w:rPr>
          <w:b/>
        </w:rPr>
        <w:t>(</w:t>
      </w:r>
      <w:hyperlink r:id="rId6" w:history="1">
        <w:r w:rsidR="00CA7EB0" w:rsidRPr="0074516F">
          <w:rPr>
            <w:rStyle w:val="Hypertextovodkaz"/>
            <w:b/>
          </w:rPr>
          <w:t>dankovam@vutbr.cz</w:t>
        </w:r>
      </w:hyperlink>
      <w:r>
        <w:rPr>
          <w:b/>
        </w:rPr>
        <w:t>, kl. 422</w:t>
      </w:r>
      <w:r w:rsidR="00CA7EB0">
        <w:rPr>
          <w:b/>
        </w:rPr>
        <w:t>8</w:t>
      </w:r>
      <w:r>
        <w:rPr>
          <w:b/>
        </w:rPr>
        <w:t>)</w:t>
      </w:r>
    </w:p>
    <w:p w:rsidR="005E71F4" w:rsidRDefault="005E71F4" w:rsidP="005E71F4">
      <w:pPr>
        <w:rPr>
          <w:b/>
        </w:rPr>
      </w:pPr>
      <w:r>
        <w:rPr>
          <w:b/>
        </w:rPr>
        <w:t>Otázka DPH v projektech TAČR – Ing. Romana Sasková (</w:t>
      </w:r>
      <w:hyperlink r:id="rId7" w:history="1">
        <w:r w:rsidR="00A37535" w:rsidRPr="00C27D7E">
          <w:rPr>
            <w:rStyle w:val="Hypertextovodkaz"/>
            <w:b/>
          </w:rPr>
          <w:t>saskova@vutbr.cz</w:t>
        </w:r>
      </w:hyperlink>
      <w:r>
        <w:rPr>
          <w:b/>
        </w:rPr>
        <w:t>, kl. 5356)</w:t>
      </w:r>
    </w:p>
    <w:p w:rsidR="005E71F4" w:rsidRDefault="005E71F4" w:rsidP="005E71F4">
      <w:pPr>
        <w:rPr>
          <w:b/>
        </w:rPr>
      </w:pPr>
      <w:r>
        <w:rPr>
          <w:b/>
        </w:rPr>
        <w:t xml:space="preserve">Zadání do APOLLA pod programem </w:t>
      </w:r>
      <w:r w:rsidRPr="00CF3509">
        <w:rPr>
          <w:b/>
        </w:rPr>
        <w:t xml:space="preserve">financování: </w:t>
      </w:r>
      <w:r w:rsidR="00CF3509" w:rsidRPr="00CF3509">
        <w:rPr>
          <w:b/>
        </w:rPr>
        <w:t>TM0</w:t>
      </w:r>
      <w:r w:rsidR="00CA7EB0">
        <w:rPr>
          <w:b/>
        </w:rPr>
        <w:t>4</w:t>
      </w:r>
      <w:r w:rsidR="00CF3509" w:rsidRPr="00CF3509">
        <w:rPr>
          <w:b/>
        </w:rPr>
        <w:t>0</w:t>
      </w:r>
    </w:p>
    <w:p w:rsidR="005E71F4" w:rsidRDefault="005E71F4" w:rsidP="0057770F">
      <w:pPr>
        <w:rPr>
          <w:b/>
        </w:rPr>
      </w:pPr>
    </w:p>
    <w:p w:rsidR="00C10D9F" w:rsidRPr="005E71F4" w:rsidRDefault="00C10D9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Odkaz na soutěž:</w:t>
      </w:r>
    </w:p>
    <w:p w:rsidR="00AF3498" w:rsidRDefault="00D02719" w:rsidP="0057770F">
      <w:hyperlink r:id="rId8" w:history="1">
        <w:r w:rsidR="00CA7EB0" w:rsidRPr="0074516F">
          <w:rPr>
            <w:rStyle w:val="Hypertextovodkaz"/>
          </w:rPr>
          <w:t>https://www.tacr.cz/soutez/program-delta-2/ctvrta-verejna-soutez-7/</w:t>
        </w:r>
      </w:hyperlink>
      <w:r w:rsidR="00CA7EB0">
        <w:t xml:space="preserve"> </w:t>
      </w:r>
      <w:r w:rsidR="00552D72">
        <w:t xml:space="preserve"> </w:t>
      </w:r>
      <w:r w:rsidR="00CF3509">
        <w:t xml:space="preserve"> </w:t>
      </w:r>
    </w:p>
    <w:p w:rsidR="00CF3509" w:rsidRDefault="00CF3509" w:rsidP="0057770F">
      <w:pPr>
        <w:rPr>
          <w:b/>
        </w:rPr>
      </w:pPr>
    </w:p>
    <w:p w:rsidR="0057770F" w:rsidRPr="005E71F4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Uchazeči:</w:t>
      </w:r>
    </w:p>
    <w:p w:rsidR="00CA7EB0" w:rsidRDefault="00CA7EB0" w:rsidP="00821503">
      <w:r>
        <w:t xml:space="preserve">Hlavní uchazeč může: </w:t>
      </w:r>
    </w:p>
    <w:p w:rsidR="00CA7EB0" w:rsidRDefault="00CA7EB0" w:rsidP="00CA7EB0">
      <w:pPr>
        <w:pStyle w:val="Odstavecseseznamem"/>
        <w:numPr>
          <w:ilvl w:val="0"/>
          <w:numId w:val="26"/>
        </w:numPr>
      </w:pPr>
      <w:r>
        <w:t xml:space="preserve">být pouze podnik, který má sídlo, provozovnu nebo pobočku v České republice; </w:t>
      </w:r>
    </w:p>
    <w:p w:rsidR="00CA7EB0" w:rsidRDefault="00CA7EB0" w:rsidP="00CA7EB0">
      <w:pPr>
        <w:pStyle w:val="Odstavecseseznamem"/>
        <w:numPr>
          <w:ilvl w:val="0"/>
          <w:numId w:val="26"/>
        </w:numPr>
      </w:pPr>
      <w:r>
        <w:t xml:space="preserve">projekt řešit samostatně nebo ve spolupráci s dalšími účastníky; </w:t>
      </w:r>
    </w:p>
    <w:p w:rsidR="00CA7EB0" w:rsidRDefault="00CA7EB0" w:rsidP="00CA7EB0">
      <w:pPr>
        <w:pStyle w:val="Odstavecseseznamem"/>
        <w:numPr>
          <w:ilvl w:val="0"/>
          <w:numId w:val="26"/>
        </w:numPr>
      </w:pPr>
      <w:r>
        <w:t xml:space="preserve">podat neomezený počet návrhů projektů (aby mohl být návrh projektu podpořen, je nutné splnit podmínky stanovené v kapitole 3.4 Vymezení se vůči vlastním obdobným projektům). </w:t>
      </w:r>
    </w:p>
    <w:p w:rsidR="00CA7EB0" w:rsidRDefault="00CA7EB0" w:rsidP="00821503">
      <w:r>
        <w:t xml:space="preserve">Další účastník může být subjekt se sídlem v členském státě Evropské unie (včetně České republiky), v jiném státě tvořícím Evropský hospodářský prostor nebo ve Švýcarské konfederaci. </w:t>
      </w:r>
    </w:p>
    <w:p w:rsidR="00CA7EB0" w:rsidRDefault="00CA7EB0" w:rsidP="00821503">
      <w:r>
        <w:lastRenderedPageBreak/>
        <w:t xml:space="preserve">Každý uchazeč (hlavní uchazeč, další účastníci) musí pro určení maximální intenzity podpory zvolit jeden z následujících typů uchazeče: </w:t>
      </w:r>
    </w:p>
    <w:p w:rsidR="00CA7EB0" w:rsidRDefault="00CA7EB0" w:rsidP="00CA7EB0">
      <w:pPr>
        <w:pStyle w:val="Odstavecseseznamem"/>
        <w:numPr>
          <w:ilvl w:val="0"/>
          <w:numId w:val="27"/>
        </w:numPr>
      </w:pPr>
      <w:r>
        <w:t xml:space="preserve">výzkumná organizace; </w:t>
      </w:r>
    </w:p>
    <w:p w:rsidR="00CA7EB0" w:rsidRDefault="00CA7EB0" w:rsidP="00CA7EB0">
      <w:pPr>
        <w:pStyle w:val="Odstavecseseznamem"/>
        <w:numPr>
          <w:ilvl w:val="0"/>
          <w:numId w:val="27"/>
        </w:numPr>
      </w:pPr>
      <w:r>
        <w:t xml:space="preserve">podnik – malý, střední, velký. </w:t>
      </w:r>
    </w:p>
    <w:p w:rsidR="00CA7EB0" w:rsidRDefault="00CA7EB0" w:rsidP="00821503">
      <w:r>
        <w:t xml:space="preserve">Zahraniční partner: </w:t>
      </w:r>
    </w:p>
    <w:p w:rsidR="001B5539" w:rsidRDefault="00CA7EB0" w:rsidP="00821503">
      <w:r>
        <w:t>musí být alespoň jeden zahraniční partner z podpořených lokalit</w:t>
      </w:r>
      <w:r w:rsidR="004B6861">
        <w:t xml:space="preserve"> v rámci výzvy DELTA2 (viz kapitola níže)</w:t>
      </w:r>
      <w:r w:rsidR="001B5539">
        <w:t>.</w:t>
      </w:r>
    </w:p>
    <w:p w:rsidR="001B5539" w:rsidRDefault="001B5539" w:rsidP="00821503">
      <w:pPr>
        <w:rPr>
          <w:b/>
          <w:color w:val="1F4E79" w:themeColor="accent1" w:themeShade="80"/>
          <w:sz w:val="28"/>
          <w:szCs w:val="28"/>
        </w:rPr>
      </w:pPr>
    </w:p>
    <w:p w:rsidR="00821503" w:rsidRPr="00821503" w:rsidRDefault="0000405A" w:rsidP="00821503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Zahraniční partner:</w:t>
      </w:r>
    </w:p>
    <w:p w:rsidR="00F3107A" w:rsidRDefault="00F3107A" w:rsidP="00F3107A">
      <w:pPr>
        <w:pStyle w:val="Odstavecseseznamem"/>
        <w:numPr>
          <w:ilvl w:val="0"/>
          <w:numId w:val="21"/>
        </w:numPr>
      </w:pPr>
      <w:r w:rsidRPr="00F3107A">
        <w:t>Brazilská federativní republika</w:t>
      </w:r>
      <w:r>
        <w:t xml:space="preserve"> - </w:t>
      </w:r>
      <w:proofErr w:type="spellStart"/>
      <w:r w:rsidRPr="00F3107A">
        <w:t>Brazilian</w:t>
      </w:r>
      <w:proofErr w:type="spellEnd"/>
      <w:r w:rsidRPr="00F3107A">
        <w:t xml:space="preserve"> </w:t>
      </w:r>
      <w:proofErr w:type="spellStart"/>
      <w:r w:rsidRPr="00F3107A">
        <w:t>Agency</w:t>
      </w:r>
      <w:proofErr w:type="spellEnd"/>
      <w:r w:rsidRPr="00F3107A">
        <w:t xml:space="preserve"> </w:t>
      </w:r>
      <w:proofErr w:type="spellStart"/>
      <w:r w:rsidRPr="00F3107A">
        <w:t>for</w:t>
      </w:r>
      <w:proofErr w:type="spellEnd"/>
      <w:r w:rsidRPr="00F3107A">
        <w:t xml:space="preserve"> </w:t>
      </w:r>
      <w:proofErr w:type="spellStart"/>
      <w:r w:rsidRPr="00F3107A">
        <w:t>Research</w:t>
      </w:r>
      <w:proofErr w:type="spellEnd"/>
      <w:r w:rsidRPr="00F3107A">
        <w:t xml:space="preserve"> and </w:t>
      </w:r>
      <w:proofErr w:type="spellStart"/>
      <w:r w:rsidRPr="00F3107A">
        <w:t>Industrial</w:t>
      </w:r>
      <w:proofErr w:type="spellEnd"/>
      <w:r w:rsidRPr="00F3107A">
        <w:t xml:space="preserve"> </w:t>
      </w:r>
      <w:proofErr w:type="spellStart"/>
      <w:r w:rsidRPr="00F3107A">
        <w:t>Innovation</w:t>
      </w:r>
      <w:proofErr w:type="spellEnd"/>
      <w:r w:rsidRPr="00F3107A">
        <w:t xml:space="preserve"> EMBRAPII </w:t>
      </w:r>
    </w:p>
    <w:p w:rsidR="00F3107A" w:rsidRDefault="00F3107A" w:rsidP="00F3107A">
      <w:pPr>
        <w:pStyle w:val="Odstavecseseznamem"/>
        <w:numPr>
          <w:ilvl w:val="0"/>
          <w:numId w:val="21"/>
        </w:numPr>
      </w:pPr>
      <w:r w:rsidRPr="00F3107A">
        <w:t>Brazilská federativní republika</w:t>
      </w:r>
      <w:r>
        <w:t xml:space="preserve"> - </w:t>
      </w:r>
      <w:proofErr w:type="spellStart"/>
      <w:r w:rsidRPr="00F3107A">
        <w:t>National</w:t>
      </w:r>
      <w:proofErr w:type="spellEnd"/>
      <w:r w:rsidRPr="00F3107A">
        <w:t xml:space="preserve"> </w:t>
      </w:r>
      <w:proofErr w:type="spellStart"/>
      <w:r w:rsidRPr="00F3107A">
        <w:t>Service</w:t>
      </w:r>
      <w:proofErr w:type="spellEnd"/>
      <w:r w:rsidRPr="00F3107A">
        <w:t xml:space="preserve"> </w:t>
      </w:r>
      <w:proofErr w:type="spellStart"/>
      <w:r w:rsidRPr="00F3107A">
        <w:t>for</w:t>
      </w:r>
      <w:proofErr w:type="spellEnd"/>
      <w:r w:rsidRPr="00F3107A">
        <w:t xml:space="preserve"> </w:t>
      </w:r>
      <w:proofErr w:type="spellStart"/>
      <w:r w:rsidRPr="00F3107A">
        <w:t>Industrial</w:t>
      </w:r>
      <w:proofErr w:type="spellEnd"/>
      <w:r w:rsidRPr="00F3107A">
        <w:t xml:space="preserve"> </w:t>
      </w:r>
      <w:proofErr w:type="spellStart"/>
      <w:r w:rsidRPr="00F3107A">
        <w:t>Training</w:t>
      </w:r>
      <w:proofErr w:type="spellEnd"/>
      <w:r w:rsidRPr="00F3107A">
        <w:t xml:space="preserve"> SENAI</w:t>
      </w:r>
    </w:p>
    <w:p w:rsidR="00F3107A" w:rsidRDefault="00F3107A" w:rsidP="00F3107A">
      <w:pPr>
        <w:pStyle w:val="Odstavecseseznamem"/>
        <w:numPr>
          <w:ilvl w:val="0"/>
          <w:numId w:val="21"/>
        </w:numPr>
      </w:pPr>
      <w:proofErr w:type="spellStart"/>
      <w:r w:rsidRPr="00F3107A">
        <w:t>Če-ťiang</w:t>
      </w:r>
      <w:proofErr w:type="spellEnd"/>
      <w:r>
        <w:t xml:space="preserve"> - </w:t>
      </w:r>
      <w:proofErr w:type="spellStart"/>
      <w:r w:rsidRPr="00F3107A">
        <w:t>Zhejiang</w:t>
      </w:r>
      <w:proofErr w:type="spellEnd"/>
      <w:r w:rsidRPr="00F3107A">
        <w:t xml:space="preserve"> Science and Technology Department ZSTD </w:t>
      </w:r>
    </w:p>
    <w:p w:rsidR="00F3107A" w:rsidRDefault="00F3107A" w:rsidP="00F3107A">
      <w:pPr>
        <w:pStyle w:val="Odstavecseseznamem"/>
        <w:numPr>
          <w:ilvl w:val="0"/>
          <w:numId w:val="21"/>
        </w:numPr>
      </w:pPr>
      <w:r w:rsidRPr="00F3107A">
        <w:t>Korejská republika</w:t>
      </w:r>
      <w:r>
        <w:t xml:space="preserve"> - </w:t>
      </w:r>
      <w:r w:rsidRPr="00F3107A">
        <w:t xml:space="preserve">Korea Institute </w:t>
      </w:r>
      <w:proofErr w:type="spellStart"/>
      <w:r w:rsidRPr="00F3107A">
        <w:t>for</w:t>
      </w:r>
      <w:proofErr w:type="spellEnd"/>
      <w:r w:rsidRPr="00F3107A">
        <w:t xml:space="preserve"> </w:t>
      </w:r>
      <w:proofErr w:type="spellStart"/>
      <w:r w:rsidRPr="00F3107A">
        <w:t>Advancement</w:t>
      </w:r>
      <w:proofErr w:type="spellEnd"/>
      <w:r w:rsidRPr="00F3107A">
        <w:t xml:space="preserve"> </w:t>
      </w:r>
      <w:proofErr w:type="spellStart"/>
      <w:r w:rsidRPr="00F3107A">
        <w:t>of</w:t>
      </w:r>
      <w:proofErr w:type="spellEnd"/>
      <w:r w:rsidRPr="00F3107A">
        <w:t xml:space="preserve"> Technology KIAT </w:t>
      </w:r>
    </w:p>
    <w:p w:rsidR="00F3107A" w:rsidRDefault="00F3107A" w:rsidP="00F3107A">
      <w:pPr>
        <w:pStyle w:val="Odstavecseseznamem"/>
        <w:numPr>
          <w:ilvl w:val="0"/>
          <w:numId w:val="21"/>
        </w:numPr>
      </w:pPr>
      <w:r w:rsidRPr="00F3107A">
        <w:t>Korejská republika</w:t>
      </w:r>
      <w:r>
        <w:t xml:space="preserve"> - </w:t>
      </w:r>
      <w:r w:rsidRPr="00F3107A">
        <w:t xml:space="preserve">Korea Institute </w:t>
      </w:r>
      <w:proofErr w:type="spellStart"/>
      <w:r w:rsidRPr="00F3107A">
        <w:t>of</w:t>
      </w:r>
      <w:proofErr w:type="spellEnd"/>
      <w:r w:rsidRPr="00F3107A">
        <w:t xml:space="preserve"> </w:t>
      </w:r>
      <w:proofErr w:type="spellStart"/>
      <w:r w:rsidRPr="00F3107A">
        <w:t>Energy</w:t>
      </w:r>
      <w:proofErr w:type="spellEnd"/>
      <w:r w:rsidRPr="00F3107A">
        <w:t xml:space="preserve"> Technology </w:t>
      </w:r>
      <w:proofErr w:type="spellStart"/>
      <w:r w:rsidRPr="00F3107A">
        <w:t>Evaluation</w:t>
      </w:r>
      <w:proofErr w:type="spellEnd"/>
      <w:r w:rsidRPr="00F3107A">
        <w:t xml:space="preserve"> and </w:t>
      </w:r>
      <w:proofErr w:type="spellStart"/>
      <w:r w:rsidRPr="00F3107A">
        <w:t>Planning</w:t>
      </w:r>
      <w:proofErr w:type="spellEnd"/>
      <w:r w:rsidRPr="00F3107A">
        <w:t xml:space="preserve"> KETEP </w:t>
      </w:r>
    </w:p>
    <w:p w:rsidR="001B5539" w:rsidRDefault="001B5539" w:rsidP="00F3107A">
      <w:pPr>
        <w:pStyle w:val="Odstavecseseznamem"/>
        <w:numPr>
          <w:ilvl w:val="0"/>
          <w:numId w:val="21"/>
        </w:numPr>
      </w:pPr>
      <w:r>
        <w:t xml:space="preserve">Nigerijská federativní republika -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Science and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Infrastructure</w:t>
      </w:r>
      <w:proofErr w:type="spellEnd"/>
    </w:p>
    <w:p w:rsidR="00F3107A" w:rsidRDefault="00F3107A" w:rsidP="00F3107A">
      <w:pPr>
        <w:pStyle w:val="Odstavecseseznamem"/>
        <w:numPr>
          <w:ilvl w:val="0"/>
          <w:numId w:val="21"/>
        </w:numPr>
      </w:pPr>
      <w:proofErr w:type="spellStart"/>
      <w:r w:rsidRPr="00F3107A">
        <w:t>Québec</w:t>
      </w:r>
      <w:proofErr w:type="spellEnd"/>
      <w:r>
        <w:t xml:space="preserve"> - </w:t>
      </w:r>
      <w:proofErr w:type="spellStart"/>
      <w:r w:rsidRPr="00F3107A">
        <w:t>Consortium</w:t>
      </w:r>
      <w:proofErr w:type="spellEnd"/>
      <w:r w:rsidRPr="00F3107A">
        <w:t xml:space="preserve"> </w:t>
      </w:r>
      <w:proofErr w:type="spellStart"/>
      <w:r w:rsidRPr="00F3107A">
        <w:t>for</w:t>
      </w:r>
      <w:proofErr w:type="spellEnd"/>
      <w:r w:rsidRPr="00F3107A">
        <w:t xml:space="preserve"> </w:t>
      </w:r>
      <w:proofErr w:type="spellStart"/>
      <w:r w:rsidRPr="00F3107A">
        <w:t>Research</w:t>
      </w:r>
      <w:proofErr w:type="spellEnd"/>
      <w:r w:rsidRPr="00F3107A">
        <w:t xml:space="preserve"> and </w:t>
      </w:r>
      <w:proofErr w:type="spellStart"/>
      <w:r w:rsidRPr="00F3107A">
        <w:t>Innovation</w:t>
      </w:r>
      <w:proofErr w:type="spellEnd"/>
      <w:r w:rsidRPr="00F3107A">
        <w:t xml:space="preserve"> in </w:t>
      </w:r>
      <w:proofErr w:type="spellStart"/>
      <w:r w:rsidRPr="00F3107A">
        <w:t>Aerospace</w:t>
      </w:r>
      <w:proofErr w:type="spellEnd"/>
      <w:r w:rsidRPr="00F3107A">
        <w:t xml:space="preserve"> in </w:t>
      </w:r>
      <w:proofErr w:type="spellStart"/>
      <w:r w:rsidRPr="00F3107A">
        <w:t>Québec</w:t>
      </w:r>
      <w:proofErr w:type="spellEnd"/>
      <w:r w:rsidRPr="00F3107A">
        <w:t xml:space="preserve"> CRIAQ </w:t>
      </w:r>
    </w:p>
    <w:p w:rsidR="001B5539" w:rsidRDefault="001B5539" w:rsidP="00F3107A">
      <w:pPr>
        <w:pStyle w:val="Odstavecseseznamem"/>
        <w:numPr>
          <w:ilvl w:val="0"/>
          <w:numId w:val="21"/>
        </w:numPr>
      </w:pPr>
      <w:r>
        <w:t xml:space="preserve">Spojené státy americké - 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America</w:t>
      </w:r>
    </w:p>
    <w:p w:rsidR="001B5539" w:rsidRDefault="001B5539" w:rsidP="00F3107A">
      <w:pPr>
        <w:pStyle w:val="Odstavecseseznamem"/>
        <w:numPr>
          <w:ilvl w:val="0"/>
          <w:numId w:val="21"/>
        </w:numPr>
      </w:pPr>
      <w:r w:rsidRPr="001B5539">
        <w:t xml:space="preserve">Stát Izrael </w:t>
      </w:r>
      <w:r>
        <w:t xml:space="preserve">- </w:t>
      </w:r>
      <w:proofErr w:type="spellStart"/>
      <w:r w:rsidRPr="001B5539">
        <w:t>Israel</w:t>
      </w:r>
      <w:proofErr w:type="spellEnd"/>
      <w:r w:rsidRPr="001B5539">
        <w:t xml:space="preserve"> </w:t>
      </w:r>
      <w:proofErr w:type="spellStart"/>
      <w:r w:rsidRPr="001B5539">
        <w:t>Innovation</w:t>
      </w:r>
      <w:proofErr w:type="spellEnd"/>
      <w:r w:rsidRPr="001B5539">
        <w:t xml:space="preserve"> </w:t>
      </w:r>
      <w:proofErr w:type="spellStart"/>
      <w:r w:rsidRPr="001B5539">
        <w:t>Authority</w:t>
      </w:r>
      <w:proofErr w:type="spellEnd"/>
    </w:p>
    <w:p w:rsidR="00F3107A" w:rsidRDefault="00F3107A" w:rsidP="00F3107A">
      <w:pPr>
        <w:pStyle w:val="Odstavecseseznamem"/>
        <w:numPr>
          <w:ilvl w:val="0"/>
          <w:numId w:val="21"/>
        </w:numPr>
      </w:pPr>
      <w:r w:rsidRPr="00F3107A">
        <w:t>Tchaj-wan</w:t>
      </w:r>
      <w:r>
        <w:t xml:space="preserve"> -  </w:t>
      </w:r>
      <w:r w:rsidRPr="00F3107A">
        <w:t xml:space="preserve">Ministry </w:t>
      </w:r>
      <w:proofErr w:type="spellStart"/>
      <w:r w:rsidRPr="00F3107A">
        <w:t>of</w:t>
      </w:r>
      <w:proofErr w:type="spellEnd"/>
      <w:r w:rsidRPr="00F3107A">
        <w:t xml:space="preserve"> </w:t>
      </w:r>
      <w:proofErr w:type="spellStart"/>
      <w:r w:rsidRPr="00F3107A">
        <w:t>Economy</w:t>
      </w:r>
      <w:proofErr w:type="spellEnd"/>
      <w:r w:rsidRPr="00F3107A">
        <w:t xml:space="preserve"> </w:t>
      </w:r>
      <w:proofErr w:type="spellStart"/>
      <w:r w:rsidRPr="00F3107A">
        <w:t>Affairs</w:t>
      </w:r>
      <w:proofErr w:type="spellEnd"/>
      <w:r w:rsidRPr="00F3107A">
        <w:t xml:space="preserve"> </w:t>
      </w:r>
      <w:proofErr w:type="spellStart"/>
      <w:r w:rsidRPr="00F3107A">
        <w:t>MoEA</w:t>
      </w:r>
      <w:proofErr w:type="spellEnd"/>
      <w:r w:rsidRPr="00F3107A">
        <w:t xml:space="preserve"> </w:t>
      </w:r>
    </w:p>
    <w:p w:rsidR="00F3107A" w:rsidRDefault="00F3107A" w:rsidP="00F3107A">
      <w:pPr>
        <w:pStyle w:val="Odstavecseseznamem"/>
        <w:numPr>
          <w:ilvl w:val="0"/>
          <w:numId w:val="21"/>
        </w:numPr>
      </w:pPr>
      <w:r w:rsidRPr="00F3107A">
        <w:t>Tchaj-wan</w:t>
      </w:r>
      <w:r>
        <w:t xml:space="preserve"> - </w:t>
      </w:r>
      <w:r w:rsidRPr="00F3107A">
        <w:t xml:space="preserve">Ministry </w:t>
      </w:r>
      <w:proofErr w:type="spellStart"/>
      <w:r w:rsidRPr="00F3107A">
        <w:t>of</w:t>
      </w:r>
      <w:proofErr w:type="spellEnd"/>
      <w:r w:rsidRPr="00F3107A">
        <w:t xml:space="preserve"> Science and Technology </w:t>
      </w:r>
      <w:proofErr w:type="spellStart"/>
      <w:r w:rsidRPr="00F3107A">
        <w:t>MoST</w:t>
      </w:r>
      <w:proofErr w:type="spellEnd"/>
      <w:r w:rsidRPr="00F3107A">
        <w:t xml:space="preserve"> </w:t>
      </w:r>
    </w:p>
    <w:p w:rsidR="00F3107A" w:rsidRDefault="00F3107A" w:rsidP="00F3107A">
      <w:pPr>
        <w:pStyle w:val="Odstavecseseznamem"/>
        <w:numPr>
          <w:ilvl w:val="0"/>
          <w:numId w:val="21"/>
        </w:numPr>
      </w:pPr>
      <w:proofErr w:type="spellStart"/>
      <w:r w:rsidRPr="00F3107A">
        <w:t>Ťiang-su</w:t>
      </w:r>
      <w:proofErr w:type="spellEnd"/>
      <w:r>
        <w:t xml:space="preserve"> - </w:t>
      </w:r>
      <w:proofErr w:type="spellStart"/>
      <w:r w:rsidRPr="00F3107A">
        <w:t>Jiangsu</w:t>
      </w:r>
      <w:proofErr w:type="spellEnd"/>
      <w:r w:rsidRPr="00F3107A">
        <w:t xml:space="preserve"> </w:t>
      </w:r>
      <w:proofErr w:type="spellStart"/>
      <w:r w:rsidRPr="00F3107A">
        <w:t>Provincial</w:t>
      </w:r>
      <w:proofErr w:type="spellEnd"/>
      <w:r w:rsidRPr="00F3107A">
        <w:t xml:space="preserve"> Department </w:t>
      </w:r>
      <w:proofErr w:type="spellStart"/>
      <w:r w:rsidRPr="00F3107A">
        <w:t>of</w:t>
      </w:r>
      <w:proofErr w:type="spellEnd"/>
      <w:r w:rsidRPr="00F3107A">
        <w:t xml:space="preserve"> Science and Technology JSTD </w:t>
      </w:r>
    </w:p>
    <w:p w:rsidR="00F3107A" w:rsidRPr="00F3107A" w:rsidRDefault="00F3107A" w:rsidP="00F3107A"/>
    <w:p w:rsidR="00AF3498" w:rsidRPr="00DD097B" w:rsidRDefault="00AF3498" w:rsidP="00AF3498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t>Zaměření soutěže:</w:t>
      </w:r>
    </w:p>
    <w:p w:rsidR="005E1E90" w:rsidRDefault="005E1E90" w:rsidP="009D7493">
      <w:pPr>
        <w:pStyle w:val="Odstavecseseznamem"/>
        <w:ind w:left="0"/>
      </w:pPr>
      <w:r>
        <w:t xml:space="preserve">Veřejná soutěž je zaměřena na podporu mezinárodní spolupráce v oblasti aplikovaného výzkumu prostřednictvím společných projektů českých subjektů podporovaných TA ČR a zahraničních partnerů s předpokládanou podporou zahraničních institucí (dále „zahraniční organizace”). Jejím hlavním cílem je zvýšit množství výstupů a výsledků v oblastech, které jsou perspektivní pro budoucnost zapojených zemí. </w:t>
      </w:r>
    </w:p>
    <w:p w:rsidR="00BE6CDC" w:rsidRPr="00BE6CDC" w:rsidRDefault="005E1E90" w:rsidP="009D7493">
      <w:pPr>
        <w:pStyle w:val="Odstavecseseznamem"/>
        <w:ind w:left="0"/>
      </w:pPr>
      <w:r>
        <w:t>Cílem veřejné soutěže je rovněž podpora přenosu mezinárodních znalostí, sdílení dobré praxe a usnadnění pronikání na zahraniční trhy.</w:t>
      </w:r>
    </w:p>
    <w:p w:rsidR="009D7493" w:rsidRDefault="009D7493" w:rsidP="007E344D">
      <w:pPr>
        <w:rPr>
          <w:b/>
          <w:color w:val="1F4E79" w:themeColor="accent1" w:themeShade="80"/>
          <w:sz w:val="28"/>
          <w:szCs w:val="28"/>
        </w:rPr>
      </w:pPr>
    </w:p>
    <w:p w:rsidR="007E344D" w:rsidRPr="008F2375" w:rsidRDefault="007E344D" w:rsidP="007E344D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Očekávané výsledky: alespoň jeden z následujících výsledků</w:t>
      </w:r>
    </w:p>
    <w:p w:rsidR="00BC71EE" w:rsidRDefault="00BC71EE" w:rsidP="00BC71EE">
      <w:pPr>
        <w:pStyle w:val="Odstavecseseznamem"/>
      </w:pPr>
      <w:proofErr w:type="spellStart"/>
      <w:r>
        <w:t>Fprum</w:t>
      </w:r>
      <w:proofErr w:type="spellEnd"/>
      <w:r>
        <w:t xml:space="preserve"> – průmyslový vzor;</w:t>
      </w:r>
    </w:p>
    <w:p w:rsidR="00BC71EE" w:rsidRDefault="00BC71EE" w:rsidP="00BC71EE">
      <w:pPr>
        <w:pStyle w:val="Odstavecseseznamem"/>
      </w:pPr>
      <w:proofErr w:type="spellStart"/>
      <w:r>
        <w:t>Fuzit</w:t>
      </w:r>
      <w:proofErr w:type="spellEnd"/>
      <w:r>
        <w:t xml:space="preserve"> – užitný vzor;</w:t>
      </w:r>
    </w:p>
    <w:p w:rsidR="00BC71EE" w:rsidRDefault="00BC71EE" w:rsidP="00BC71EE">
      <w:pPr>
        <w:pStyle w:val="Odstavecseseznamem"/>
      </w:pPr>
      <w:proofErr w:type="spellStart"/>
      <w:r>
        <w:t>Gprot</w:t>
      </w:r>
      <w:proofErr w:type="spellEnd"/>
      <w:r>
        <w:t xml:space="preserve"> – prototyp;</w:t>
      </w:r>
    </w:p>
    <w:p w:rsidR="00BC71EE" w:rsidRDefault="00BC71EE" w:rsidP="00BC71EE">
      <w:pPr>
        <w:pStyle w:val="Odstavecseseznamem"/>
      </w:pPr>
      <w:proofErr w:type="spellStart"/>
      <w:r>
        <w:t>Gfunk</w:t>
      </w:r>
      <w:proofErr w:type="spellEnd"/>
      <w:r>
        <w:t xml:space="preserve"> – funkční vzorek;</w:t>
      </w:r>
    </w:p>
    <w:p w:rsidR="00BC71EE" w:rsidRDefault="00BC71EE" w:rsidP="00BC71EE">
      <w:pPr>
        <w:pStyle w:val="Odstavecseseznamem"/>
      </w:pPr>
      <w:proofErr w:type="spellStart"/>
      <w:r>
        <w:t>Nlec</w:t>
      </w:r>
      <w:proofErr w:type="spellEnd"/>
      <w:r>
        <w:t xml:space="preserve"> – léčebný postup;</w:t>
      </w:r>
    </w:p>
    <w:p w:rsidR="00BC71EE" w:rsidRDefault="00BC71EE" w:rsidP="00BC71EE">
      <w:pPr>
        <w:pStyle w:val="Odstavecseseznamem"/>
      </w:pPr>
      <w:proofErr w:type="spellStart"/>
      <w:r>
        <w:t>Npam</w:t>
      </w:r>
      <w:proofErr w:type="spellEnd"/>
      <w:r>
        <w:t xml:space="preserve"> – památkový postup;</w:t>
      </w:r>
    </w:p>
    <w:p w:rsidR="00BC71EE" w:rsidRDefault="00BC71EE" w:rsidP="00BC71EE">
      <w:pPr>
        <w:pStyle w:val="Odstavecseseznamem"/>
      </w:pPr>
      <w:proofErr w:type="spellStart"/>
      <w:r>
        <w:lastRenderedPageBreak/>
        <w:t>Nmap</w:t>
      </w:r>
      <w:proofErr w:type="spellEnd"/>
      <w:r>
        <w:t xml:space="preserve"> – specializovaná mapa s odborným obsahem;</w:t>
      </w:r>
    </w:p>
    <w:p w:rsidR="003F6BD9" w:rsidRDefault="003F6BD9" w:rsidP="003F6BD9">
      <w:pPr>
        <w:pStyle w:val="Odstavecseseznamem"/>
      </w:pPr>
      <w:proofErr w:type="spellStart"/>
      <w:r>
        <w:t>NmetS</w:t>
      </w:r>
      <w:proofErr w:type="spellEnd"/>
      <w:r>
        <w:t xml:space="preserve"> – metodika schválená příslušným orgánem státní správy, do jehož kompetence daná problematika spadá – povinnou přílohou je Formulář pro druh výsledku </w:t>
      </w:r>
      <w:proofErr w:type="spellStart"/>
      <w:r>
        <w:t>NmetS</w:t>
      </w:r>
      <w:proofErr w:type="spellEnd"/>
      <w:r>
        <w:t>;</w:t>
      </w:r>
    </w:p>
    <w:p w:rsidR="005918A0" w:rsidRDefault="005918A0" w:rsidP="005918A0">
      <w:pPr>
        <w:pStyle w:val="Odstavecseseznamem"/>
      </w:pPr>
      <w:proofErr w:type="spellStart"/>
      <w:r>
        <w:t>NmetC</w:t>
      </w:r>
      <w:proofErr w:type="spellEnd"/>
      <w:r>
        <w:t xml:space="preserve"> – metodika certifikovaná oprávněným orgánem;</w:t>
      </w:r>
    </w:p>
    <w:p w:rsidR="00965FD7" w:rsidRDefault="005918A0" w:rsidP="005918A0">
      <w:pPr>
        <w:pStyle w:val="Odstavecseseznamem"/>
      </w:pPr>
      <w:proofErr w:type="spellStart"/>
      <w:r>
        <w:t>NmetA</w:t>
      </w:r>
      <w:proofErr w:type="spellEnd"/>
      <w:r>
        <w:t xml:space="preserve"> – metodika a postupy akreditované oprávněným orgánem;</w:t>
      </w:r>
    </w:p>
    <w:p w:rsidR="003F6BD9" w:rsidRDefault="003F6BD9" w:rsidP="003F6BD9">
      <w:pPr>
        <w:pStyle w:val="Odstavecseseznamem"/>
      </w:pPr>
      <w:r>
        <w:t>P – patent – povinnou přílohou je patentová rešerše4;</w:t>
      </w:r>
    </w:p>
    <w:p w:rsidR="003F6BD9" w:rsidRDefault="003F6BD9" w:rsidP="003F6BD9">
      <w:pPr>
        <w:pStyle w:val="Odstavecseseznamem"/>
      </w:pPr>
      <w:r>
        <w:t>R – software;</w:t>
      </w:r>
    </w:p>
    <w:p w:rsidR="003F6BD9" w:rsidRDefault="003F6BD9" w:rsidP="003F6BD9">
      <w:pPr>
        <w:pStyle w:val="Odstavecseseznamem"/>
      </w:pPr>
      <w:r>
        <w:t>S – specializovaná veřejná databáze;</w:t>
      </w:r>
    </w:p>
    <w:p w:rsidR="005918A0" w:rsidRDefault="005918A0" w:rsidP="003F6BD9">
      <w:pPr>
        <w:pStyle w:val="Odstavecseseznamem"/>
      </w:pPr>
      <w:r>
        <w:t>O – ostatní výsledky;</w:t>
      </w:r>
    </w:p>
    <w:p w:rsidR="003F6BD9" w:rsidRDefault="003F6BD9" w:rsidP="003F6BD9">
      <w:pPr>
        <w:pStyle w:val="Odstavecseseznamem"/>
      </w:pPr>
      <w:proofErr w:type="spellStart"/>
      <w:r>
        <w:t>Zpolop</w:t>
      </w:r>
      <w:proofErr w:type="spellEnd"/>
      <w:r>
        <w:t xml:space="preserve"> – poloprovoz;</w:t>
      </w:r>
    </w:p>
    <w:p w:rsidR="003F6BD9" w:rsidRDefault="003F6BD9" w:rsidP="003F6BD9">
      <w:pPr>
        <w:pStyle w:val="Odstavecseseznamem"/>
      </w:pPr>
      <w:proofErr w:type="spellStart"/>
      <w:r>
        <w:t>Ztech</w:t>
      </w:r>
      <w:proofErr w:type="spellEnd"/>
      <w:r>
        <w:t xml:space="preserve"> – ověřená technologie;</w:t>
      </w:r>
    </w:p>
    <w:p w:rsidR="0057770F" w:rsidRDefault="0057770F" w:rsidP="0057770F"/>
    <w:p w:rsidR="0057770F" w:rsidRPr="00DD097B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t>Základní finanční údaje</w:t>
      </w:r>
    </w:p>
    <w:p w:rsidR="00DD0423" w:rsidRDefault="00DD0423" w:rsidP="007C2781">
      <w:pPr>
        <w:spacing w:line="100" w:lineRule="atLeast"/>
      </w:pPr>
      <w:r>
        <w:t xml:space="preserve">Předpokládaná alokace soutěže: </w:t>
      </w:r>
      <w:r w:rsidR="008A661B">
        <w:rPr>
          <w:b/>
        </w:rPr>
        <w:t>250</w:t>
      </w:r>
      <w:r w:rsidRPr="00DD0423">
        <w:rPr>
          <w:b/>
        </w:rPr>
        <w:t xml:space="preserve"> mil. Kč</w:t>
      </w:r>
    </w:p>
    <w:p w:rsidR="0057770F" w:rsidRPr="005E71F4" w:rsidRDefault="0057770F" w:rsidP="007C2781">
      <w:pPr>
        <w:spacing w:line="100" w:lineRule="atLeast"/>
        <w:rPr>
          <w:b/>
        </w:rPr>
      </w:pPr>
      <w:r w:rsidRPr="005E71F4">
        <w:t>Maximální částka podpory na jeden projekt -</w:t>
      </w:r>
      <w:r w:rsidR="00DA38BF">
        <w:rPr>
          <w:b/>
        </w:rPr>
        <w:t>není stanovena</w:t>
      </w:r>
    </w:p>
    <w:p w:rsidR="0057770F" w:rsidRDefault="0057770F" w:rsidP="007C2781">
      <w:pPr>
        <w:spacing w:line="100" w:lineRule="atLeast"/>
        <w:rPr>
          <w:b/>
        </w:rPr>
      </w:pPr>
      <w:r w:rsidRPr="005E71F4">
        <w:t>Maximální intenzita podpory na projekt</w:t>
      </w:r>
      <w:r w:rsidR="00D66035" w:rsidRPr="005E71F4">
        <w:t xml:space="preserve"> - </w:t>
      </w:r>
      <w:r w:rsidR="00DA38BF">
        <w:rPr>
          <w:b/>
        </w:rPr>
        <w:t>74</w:t>
      </w:r>
      <w:r w:rsidRPr="005E71F4">
        <w:rPr>
          <w:b/>
        </w:rPr>
        <w:t xml:space="preserve"> %</w:t>
      </w:r>
    </w:p>
    <w:p w:rsidR="003F6BD9" w:rsidRPr="005E71F4" w:rsidRDefault="008A661B" w:rsidP="007C2781">
      <w:pPr>
        <w:spacing w:line="100" w:lineRule="atLeast"/>
        <w:rPr>
          <w:b/>
        </w:rPr>
      </w:pPr>
      <w:r w:rsidRPr="008A661B">
        <w:t xml:space="preserve">Kurz USD podle ČNB ke dni 18. 5. 2022 </w:t>
      </w:r>
      <w:r>
        <w:t xml:space="preserve"> je stanoven na </w:t>
      </w:r>
      <w:r w:rsidRPr="008A661B">
        <w:rPr>
          <w:b/>
        </w:rPr>
        <w:t>23,422 CZK</w:t>
      </w:r>
    </w:p>
    <w:p w:rsidR="00D66035" w:rsidRDefault="00D66035" w:rsidP="007C2781">
      <w:pPr>
        <w:spacing w:line="100" w:lineRule="atLeast"/>
        <w:rPr>
          <w:b/>
        </w:rPr>
      </w:pPr>
      <w:r w:rsidRPr="005E71F4">
        <w:rPr>
          <w:b/>
        </w:rPr>
        <w:t>Maximální intenzita podpory pro výzkumnou organizaci -  100%</w:t>
      </w:r>
    </w:p>
    <w:p w:rsidR="00894BEB" w:rsidRDefault="00894BEB" w:rsidP="0057770F">
      <w:pPr>
        <w:rPr>
          <w:b/>
        </w:rPr>
      </w:pPr>
    </w:p>
    <w:p w:rsidR="005E71F4" w:rsidRPr="00DD097B" w:rsidRDefault="00FE3CFC" w:rsidP="00DD097B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t xml:space="preserve">Způsobilé náklady: </w:t>
      </w:r>
    </w:p>
    <w:p w:rsidR="00FE3CFC" w:rsidRDefault="00FE3CFC" w:rsidP="002D1982">
      <w:pPr>
        <w:pStyle w:val="Default"/>
        <w:numPr>
          <w:ilvl w:val="0"/>
          <w:numId w:val="12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osobní náklady; </w:t>
      </w:r>
    </w:p>
    <w:p w:rsidR="00FE3CFC" w:rsidRDefault="00FE3CFC" w:rsidP="002D1982">
      <w:pPr>
        <w:pStyle w:val="Default"/>
        <w:numPr>
          <w:ilvl w:val="0"/>
          <w:numId w:val="12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>náklady na subdodávky</w:t>
      </w:r>
      <w:r w:rsidR="003F6BD9">
        <w:rPr>
          <w:sz w:val="22"/>
          <w:szCs w:val="22"/>
        </w:rPr>
        <w:t xml:space="preserve"> (do 20%)</w:t>
      </w:r>
      <w:r>
        <w:rPr>
          <w:sz w:val="22"/>
          <w:szCs w:val="22"/>
        </w:rPr>
        <w:t xml:space="preserve">; </w:t>
      </w:r>
    </w:p>
    <w:p w:rsidR="00FE3CFC" w:rsidRDefault="00FE3CFC" w:rsidP="002D1982">
      <w:pPr>
        <w:pStyle w:val="Default"/>
        <w:numPr>
          <w:ilvl w:val="0"/>
          <w:numId w:val="12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ostatní přímé náklady; </w:t>
      </w:r>
    </w:p>
    <w:p w:rsidR="00FE3CFC" w:rsidRDefault="00FE3CFC" w:rsidP="002D1982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nepřímé náklady</w:t>
      </w:r>
      <w:r w:rsidR="006300BB">
        <w:rPr>
          <w:sz w:val="22"/>
          <w:szCs w:val="22"/>
        </w:rPr>
        <w:t xml:space="preserve"> (Full </w:t>
      </w:r>
      <w:proofErr w:type="spellStart"/>
      <w:r w:rsidR="006300BB">
        <w:rPr>
          <w:sz w:val="22"/>
          <w:szCs w:val="22"/>
        </w:rPr>
        <w:t>cost</w:t>
      </w:r>
      <w:proofErr w:type="spellEnd"/>
      <w:r w:rsidR="006300BB">
        <w:rPr>
          <w:sz w:val="22"/>
          <w:szCs w:val="22"/>
        </w:rPr>
        <w:t xml:space="preserve"> nebo </w:t>
      </w:r>
      <w:proofErr w:type="spellStart"/>
      <w:r w:rsidR="006300BB">
        <w:rPr>
          <w:sz w:val="22"/>
          <w:szCs w:val="22"/>
        </w:rPr>
        <w:t>Flate</w:t>
      </w:r>
      <w:proofErr w:type="spellEnd"/>
      <w:r w:rsidR="006300BB">
        <w:rPr>
          <w:sz w:val="22"/>
          <w:szCs w:val="22"/>
        </w:rPr>
        <w:t xml:space="preserve"> </w:t>
      </w:r>
      <w:proofErr w:type="spellStart"/>
      <w:r w:rsidR="006300BB">
        <w:rPr>
          <w:sz w:val="22"/>
          <w:szCs w:val="22"/>
        </w:rPr>
        <w:t>rate</w:t>
      </w:r>
      <w:proofErr w:type="spellEnd"/>
      <w:r w:rsidR="006300BB">
        <w:rPr>
          <w:sz w:val="22"/>
          <w:szCs w:val="22"/>
        </w:rPr>
        <w:t xml:space="preserve"> do 25%)</w:t>
      </w:r>
      <w:r>
        <w:rPr>
          <w:sz w:val="22"/>
          <w:szCs w:val="22"/>
        </w:rPr>
        <w:t xml:space="preserve">. </w:t>
      </w:r>
    </w:p>
    <w:p w:rsidR="00FE3CFC" w:rsidRDefault="00FE3CFC" w:rsidP="0057770F">
      <w:pPr>
        <w:rPr>
          <w:b/>
        </w:rPr>
      </w:pPr>
    </w:p>
    <w:p w:rsidR="00894BEB" w:rsidRPr="00AD0BCF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t>Způsob podání návrhů projektů:</w:t>
      </w:r>
    </w:p>
    <w:p w:rsidR="00894BEB" w:rsidRDefault="00894BEB" w:rsidP="0057770F">
      <w:pPr>
        <w:rPr>
          <w:b/>
        </w:rPr>
      </w:pPr>
      <w:r w:rsidRPr="007C2781">
        <w:rPr>
          <w:b/>
        </w:rPr>
        <w:t>Webový portál ISTA</w:t>
      </w:r>
      <w:r>
        <w:rPr>
          <w:b/>
        </w:rPr>
        <w:t xml:space="preserve"> </w:t>
      </w:r>
      <w:hyperlink r:id="rId9" w:history="1">
        <w:r w:rsidRPr="00AE0779">
          <w:rPr>
            <w:rStyle w:val="Hypertextovodkaz"/>
            <w:b/>
          </w:rPr>
          <w:t>https://ista.tacr.cz/ISTA/action/Login/?actionId=26177460554028970&amp;step=0&amp;ts=1560349268592&amp;hash=PIPB5ah8Cwz2I7whWtNq7A==&amp;nbl=true</w:t>
        </w:r>
      </w:hyperlink>
    </w:p>
    <w:p w:rsidR="00894BEB" w:rsidRDefault="00894BEB" w:rsidP="0057770F">
      <w:pPr>
        <w:rPr>
          <w:b/>
        </w:rPr>
      </w:pPr>
    </w:p>
    <w:p w:rsidR="00894BEB" w:rsidRPr="00AD0BCF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t>Požadavky na způsobilost:</w:t>
      </w:r>
    </w:p>
    <w:p w:rsidR="00C4569A" w:rsidRDefault="00894BEB" w:rsidP="0057770F">
      <w:pPr>
        <w:rPr>
          <w:b/>
        </w:rPr>
      </w:pPr>
      <w:r w:rsidRPr="00294F2E">
        <w:rPr>
          <w:b/>
        </w:rPr>
        <w:t>Čestné prohlášení za uchazeče</w:t>
      </w:r>
      <w:r w:rsidR="003F6BD9">
        <w:rPr>
          <w:b/>
        </w:rPr>
        <w:t xml:space="preserve"> VUT</w:t>
      </w:r>
      <w:r w:rsidRPr="00294F2E">
        <w:rPr>
          <w:b/>
        </w:rPr>
        <w:t xml:space="preserve"> – bude zajištěno rektorátem prostřednictvím datové schránky centrálně za všechny projekty ve lhůtě stanovené poskytovatelem.</w:t>
      </w:r>
      <w:r w:rsidR="007E344D">
        <w:rPr>
          <w:b/>
        </w:rPr>
        <w:t xml:space="preserve"> (Každý uchazeč musí poslat své ČP ze své datové schránky</w:t>
      </w:r>
      <w:r w:rsidR="00C4569A">
        <w:rPr>
          <w:b/>
        </w:rPr>
        <w:t xml:space="preserve">). Při zaslání ČP musí být v datovém poli Věc: uvedeno </w:t>
      </w:r>
      <w:r w:rsidR="00C4569A" w:rsidRPr="00C4569A">
        <w:rPr>
          <w:b/>
        </w:rPr>
        <w:t xml:space="preserve">„Program </w:t>
      </w:r>
      <w:r w:rsidR="003F6BD9">
        <w:rPr>
          <w:b/>
        </w:rPr>
        <w:t>D</w:t>
      </w:r>
      <w:r w:rsidR="005918A0">
        <w:rPr>
          <w:b/>
        </w:rPr>
        <w:t xml:space="preserve">ELTA </w:t>
      </w:r>
      <w:r w:rsidR="003F6BD9">
        <w:rPr>
          <w:b/>
        </w:rPr>
        <w:t>2</w:t>
      </w:r>
      <w:r w:rsidR="00C4569A" w:rsidRPr="00C4569A">
        <w:rPr>
          <w:b/>
        </w:rPr>
        <w:t xml:space="preserve"> – Prokázání způsobilosti“.</w:t>
      </w:r>
    </w:p>
    <w:p w:rsidR="00AD0BCF" w:rsidRDefault="00AD0BCF" w:rsidP="0057770F">
      <w:pPr>
        <w:rPr>
          <w:b/>
        </w:rPr>
      </w:pPr>
      <w:r>
        <w:rPr>
          <w:b/>
        </w:rPr>
        <w:t>VUT splňuje povinnost zveřejnit účetní závěrku tím, že vydává výroční zprávu o hospodaření.</w:t>
      </w:r>
    </w:p>
    <w:p w:rsidR="00894BEB" w:rsidRDefault="00AD0BCF" w:rsidP="0057770F">
      <w:pPr>
        <w:rPr>
          <w:b/>
        </w:rPr>
      </w:pPr>
      <w:r>
        <w:rPr>
          <w:b/>
        </w:rPr>
        <w:lastRenderedPageBreak/>
        <w:t xml:space="preserve">Zahraniční uchazeč posílá ČP v listinné podobě, pokud nemá datovou schránku. V tomto případě musí podepsat ČP </w:t>
      </w:r>
      <w:proofErr w:type="spellStart"/>
      <w:r>
        <w:rPr>
          <w:b/>
        </w:rPr>
        <w:t>stat</w:t>
      </w:r>
      <w:proofErr w:type="spellEnd"/>
      <w:r>
        <w:rPr>
          <w:b/>
        </w:rPr>
        <w:t>. zástupce a musí to být originál.</w:t>
      </w:r>
    </w:p>
    <w:p w:rsidR="00C4109A" w:rsidRDefault="00C4109A" w:rsidP="0057770F">
      <w:r>
        <w:t xml:space="preserve">Pro hlavní uchazeče spolupracující se zahraničními partnery z Brazilské federativní republiky (zahraniční organizace EMBRAPII a SENAI), Korejské republiky (zahraniční organizace KIAT a KETEP) a čínské provincie </w:t>
      </w:r>
      <w:proofErr w:type="spellStart"/>
      <w:r>
        <w:t>Ťiang-su</w:t>
      </w:r>
      <w:proofErr w:type="spellEnd"/>
      <w:r>
        <w:t xml:space="preserve"> (zahraniční organizace JSTD) platí následující doplňková podmínka:</w:t>
      </w:r>
    </w:p>
    <w:p w:rsidR="00894BEB" w:rsidRDefault="00C4109A" w:rsidP="0057770F">
      <w:pPr>
        <w:rPr>
          <w:rFonts w:ascii="Calibri" w:hAnsi="Calibri" w:cs="Calibri"/>
          <w:color w:val="000000"/>
        </w:rPr>
      </w:pPr>
      <w:r>
        <w:t xml:space="preserve">Hlavní uchazeč dokládá spolu s Čestným prohlášením za uchazeče také </w:t>
      </w:r>
      <w:r w:rsidRPr="00C4109A">
        <w:rPr>
          <w:b/>
        </w:rPr>
        <w:t>Čestné prohlášení o složení konsorcia</w:t>
      </w:r>
      <w:r>
        <w:t>, kde prohlašuje, že buď není se zahraničním partnerem ve vztahu, který odpovídá vztahu partnerskéh</w:t>
      </w:r>
      <w:r w:rsidR="00D02719">
        <w:t xml:space="preserve">o či propojeného podniku a nebo </w:t>
      </w:r>
      <w:bookmarkStart w:id="0" w:name="_GoBack"/>
      <w:bookmarkEnd w:id="0"/>
      <w:r>
        <w:t>pokud tato situace nastane, že ověřil, že jedním z dalších účastníků návrhu projektu je podnik, který nenaplňuje definici partnerského či propojeného podniku ve vztahu k zahraničnímu partnerovi.</w:t>
      </w:r>
      <w:r w:rsidR="005918A0" w:rsidRPr="005918A0">
        <w:rPr>
          <w:rFonts w:ascii="Calibri" w:hAnsi="Calibri" w:cs="Calibri"/>
          <w:color w:val="000000"/>
        </w:rPr>
        <w:t xml:space="preserve"> </w:t>
      </w:r>
    </w:p>
    <w:p w:rsidR="00C4109A" w:rsidRPr="00C4109A" w:rsidRDefault="00C4109A" w:rsidP="0057770F">
      <w:pPr>
        <w:rPr>
          <w:rFonts w:ascii="Calibri" w:hAnsi="Calibri" w:cs="Calibri"/>
          <w:b/>
          <w:color w:val="FF0000"/>
        </w:rPr>
      </w:pPr>
      <w:r w:rsidRPr="00C4109A">
        <w:rPr>
          <w:rFonts w:ascii="Calibri" w:hAnsi="Calibri" w:cs="Calibri"/>
          <w:b/>
          <w:color w:val="FF0000"/>
        </w:rPr>
        <w:t>Nově platí:</w:t>
      </w:r>
    </w:p>
    <w:p w:rsidR="00C4109A" w:rsidRPr="00C4109A" w:rsidRDefault="00C4109A" w:rsidP="0057770F">
      <w:pPr>
        <w:rPr>
          <w:rFonts w:ascii="Calibri" w:hAnsi="Calibri" w:cs="Calibri"/>
          <w:color w:val="FF0000"/>
        </w:rPr>
      </w:pPr>
      <w:r w:rsidRPr="00C4109A">
        <w:rPr>
          <w:color w:val="FF0000"/>
        </w:rPr>
        <w:t xml:space="preserve">Dále uchazeči musí být </w:t>
      </w:r>
      <w:r w:rsidRPr="00C4109A">
        <w:rPr>
          <w:b/>
          <w:color w:val="FF0000"/>
        </w:rPr>
        <w:t>zapsaní v evidenci skutečných majitelů</w:t>
      </w:r>
      <w:r w:rsidRPr="00C4109A">
        <w:rPr>
          <w:color w:val="FF0000"/>
        </w:rPr>
        <w:t xml:space="preserve">. Pokud uchazeč není zapsán v evidenci skutečných majitelů do termínu konce soutěžní lhůty, tedy </w:t>
      </w:r>
      <w:r w:rsidRPr="00C4109A">
        <w:rPr>
          <w:b/>
          <w:color w:val="FF0000"/>
        </w:rPr>
        <w:t>do 13. 7. 2022</w:t>
      </w:r>
      <w:r w:rsidRPr="00C4109A">
        <w:rPr>
          <w:color w:val="FF0000"/>
        </w:rPr>
        <w:t>, nepřijme TA ČR návrh projektu do veřejné soutěže.</w:t>
      </w:r>
    </w:p>
    <w:p w:rsidR="00DE497C" w:rsidRPr="00DE497C" w:rsidRDefault="00DE497C" w:rsidP="0057770F">
      <w:pPr>
        <w:rPr>
          <w:rFonts w:ascii="Calibri" w:hAnsi="Calibri" w:cs="Calibri"/>
          <w:color w:val="000000"/>
        </w:rPr>
      </w:pPr>
    </w:p>
    <w:p w:rsidR="00894BEB" w:rsidRPr="00AD0BCF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t>Návrh projektu:</w:t>
      </w:r>
    </w:p>
    <w:p w:rsidR="003206E0" w:rsidRDefault="003206E0" w:rsidP="0057770F">
      <w:pPr>
        <w:rPr>
          <w:b/>
        </w:rPr>
      </w:pPr>
      <w:r w:rsidRPr="003206E0">
        <w:t>Při spolupráci více uchazečů je nutné v návrhu popsat způsob řízení, rozdělení práv a přístup k výstupům a výsledkům (bude se promítat do smlouvy mezi uchazeči)</w:t>
      </w:r>
      <w:r w:rsidR="00AD0BCF">
        <w:t xml:space="preserve"> </w:t>
      </w:r>
      <w:r w:rsidR="00AD0BCF">
        <w:rPr>
          <w:b/>
        </w:rPr>
        <w:t>Nutné je se v návrhu projektu také vymezit k možným duplicitám projektu nejen s projekty daného výzkumného týmu, ale také k projektům, které mají stejný nebo podobný výzkumný cíl. Jedná se o podstatnou část hodnocení.</w:t>
      </w:r>
    </w:p>
    <w:p w:rsidR="002D1982" w:rsidRPr="001D7DE3" w:rsidRDefault="002D1982" w:rsidP="002D1982">
      <w:pPr>
        <w:rPr>
          <w:b/>
        </w:rPr>
      </w:pPr>
      <w:r w:rsidRPr="00C4569A">
        <w:t xml:space="preserve">Pro podání projektu je nutné po jeho odeslání z ISTA vygenerovat z účtu vlastníka Potvrzení podání elektronického návrhu projektu do ISTA, které bude zasláno datovou zprávou hlavního uchazeče v datovém poli „Věc“ bude uvedeno </w:t>
      </w:r>
      <w:r w:rsidRPr="001D7DE3">
        <w:rPr>
          <w:b/>
        </w:rPr>
        <w:t xml:space="preserve">„Program </w:t>
      </w:r>
      <w:r w:rsidR="006300BB" w:rsidRPr="001D7DE3">
        <w:rPr>
          <w:b/>
        </w:rPr>
        <w:t>DELTA</w:t>
      </w:r>
      <w:r w:rsidR="00A86736">
        <w:rPr>
          <w:b/>
        </w:rPr>
        <w:t xml:space="preserve"> </w:t>
      </w:r>
      <w:r w:rsidR="006300BB" w:rsidRPr="001D7DE3">
        <w:rPr>
          <w:b/>
        </w:rPr>
        <w:t>2</w:t>
      </w:r>
      <w:r w:rsidRPr="001D7DE3">
        <w:rPr>
          <w:b/>
        </w:rPr>
        <w:t xml:space="preserve"> – Potvrzení podání“.</w:t>
      </w:r>
    </w:p>
    <w:p w:rsidR="007E344D" w:rsidRDefault="007E344D" w:rsidP="0057770F">
      <w:pPr>
        <w:rPr>
          <w:b/>
        </w:rPr>
      </w:pPr>
    </w:p>
    <w:p w:rsidR="007E344D" w:rsidRDefault="007E344D" w:rsidP="0057770F">
      <w:pPr>
        <w:rPr>
          <w:b/>
        </w:rPr>
      </w:pPr>
      <w:r>
        <w:rPr>
          <w:b/>
        </w:rPr>
        <w:t>Důležité předpoklady dokladované prostřednictvím přílohy ISTA:</w:t>
      </w:r>
    </w:p>
    <w:p w:rsidR="00A86736" w:rsidRPr="00A86736" w:rsidRDefault="00A86736" w:rsidP="00A86736">
      <w:pPr>
        <w:pStyle w:val="Odstavecseseznamem"/>
        <w:numPr>
          <w:ilvl w:val="0"/>
          <w:numId w:val="24"/>
        </w:numPr>
      </w:pPr>
      <w:r w:rsidRPr="00A86736">
        <w:t>odborné předpoklady k řešení projektu – vyplňují se u klíčových osob řešitelského týmu v části “Odborný životopis”. Každý hlavní uchazeč musí mít v návrhu projektu alespoň jednu osobu v roli řešitel a každý případný další účastník musí mít alespoň jednu osobu v roli další řešitel;</w:t>
      </w:r>
    </w:p>
    <w:p w:rsidR="00A86736" w:rsidRPr="00A86736" w:rsidRDefault="00A86736" w:rsidP="00A86736">
      <w:pPr>
        <w:pStyle w:val="Odstavecseseznamem"/>
        <w:numPr>
          <w:ilvl w:val="0"/>
          <w:numId w:val="24"/>
        </w:numPr>
      </w:pPr>
      <w:r w:rsidRPr="00A86736">
        <w:t>oprávnění k činnosti relevantní k plánovaným činnostem v návrhu projektu – do návrhu projektu se vkládá kopie (např. oprávnění k provádění biologického zkoušení, povolení výzkumu na lidských embryonálních kmenových buňkách);</w:t>
      </w:r>
    </w:p>
    <w:p w:rsidR="007E344D" w:rsidRPr="003206E0" w:rsidRDefault="00A86736" w:rsidP="00A86736">
      <w:pPr>
        <w:pStyle w:val="Odstavecseseznamem"/>
        <w:numPr>
          <w:ilvl w:val="0"/>
          <w:numId w:val="24"/>
        </w:numPr>
      </w:pPr>
      <w:r w:rsidRPr="00A86736">
        <w:t>vlastnická struktura za každého uchazeče – každý uchazeč musí uvést všechny koncové fyzické osoby, které mají podíl minimálně 10 % (pokud z právní formy uchazeče vyplývá, že nemá vlastnickou strukturu, tato povinnost se na něj nevztahuje).</w:t>
      </w:r>
    </w:p>
    <w:p w:rsidR="003206E0" w:rsidRPr="00BE6CDC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BE6CDC">
        <w:rPr>
          <w:b/>
          <w:color w:val="1F4E79" w:themeColor="accent1" w:themeShade="80"/>
          <w:sz w:val="28"/>
          <w:szCs w:val="28"/>
        </w:rPr>
        <w:t>Povinné přílohy:</w:t>
      </w:r>
    </w:p>
    <w:p w:rsidR="00A86736" w:rsidRPr="00A86736" w:rsidRDefault="00A86736" w:rsidP="00A867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86736">
        <w:rPr>
          <w:rFonts w:ascii="Calibri" w:hAnsi="Calibri" w:cs="Calibri"/>
          <w:color w:val="000000"/>
        </w:rPr>
        <w:t xml:space="preserve">Uchazeči přikládají do návrhu projektu povinnou přílohu </w:t>
      </w:r>
      <w:proofErr w:type="spellStart"/>
      <w:r w:rsidRPr="00A86736">
        <w:rPr>
          <w:rFonts w:ascii="Calibri" w:hAnsi="Calibri" w:cs="Calibri"/>
          <w:b/>
          <w:bCs/>
          <w:color w:val="000000"/>
        </w:rPr>
        <w:t>Common</w:t>
      </w:r>
      <w:proofErr w:type="spellEnd"/>
      <w:r w:rsidRPr="00A86736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A86736">
        <w:rPr>
          <w:rFonts w:ascii="Calibri" w:hAnsi="Calibri" w:cs="Calibri"/>
          <w:b/>
          <w:bCs/>
          <w:color w:val="000000"/>
        </w:rPr>
        <w:t>proposal</w:t>
      </w:r>
      <w:proofErr w:type="spellEnd"/>
      <w:r w:rsidRPr="00A86736">
        <w:rPr>
          <w:rFonts w:ascii="Calibri" w:hAnsi="Calibri" w:cs="Calibri"/>
          <w:b/>
          <w:bCs/>
          <w:color w:val="000000"/>
        </w:rPr>
        <w:t xml:space="preserve"> </w:t>
      </w:r>
      <w:r w:rsidRPr="00A86736">
        <w:rPr>
          <w:rFonts w:ascii="Calibri" w:hAnsi="Calibri" w:cs="Calibri"/>
          <w:color w:val="000000"/>
        </w:rPr>
        <w:t xml:space="preserve">(tedy společný návrh projektu). Tento formulář má následující náležitosti: </w:t>
      </w:r>
    </w:p>
    <w:p w:rsidR="00A86736" w:rsidRPr="00A86736" w:rsidRDefault="00A86736" w:rsidP="00A8673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78" w:line="240" w:lineRule="auto"/>
        <w:rPr>
          <w:rFonts w:ascii="Calibri" w:hAnsi="Calibri" w:cs="Calibri"/>
          <w:color w:val="000000"/>
        </w:rPr>
      </w:pPr>
      <w:r w:rsidRPr="00A86736">
        <w:rPr>
          <w:rFonts w:ascii="Calibri" w:hAnsi="Calibri" w:cs="Calibri"/>
          <w:color w:val="000000"/>
        </w:rPr>
        <w:t xml:space="preserve">Jedná se o formulář, který podává hlavní uchazeč TA ČR a zahraniční partner příslušné zahraniční organizaci. </w:t>
      </w:r>
    </w:p>
    <w:p w:rsidR="00A86736" w:rsidRPr="00A86736" w:rsidRDefault="00A86736" w:rsidP="00A8673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78" w:line="240" w:lineRule="auto"/>
        <w:rPr>
          <w:rFonts w:ascii="Calibri" w:hAnsi="Calibri" w:cs="Calibri"/>
          <w:color w:val="000000"/>
        </w:rPr>
      </w:pPr>
      <w:r w:rsidRPr="00A86736">
        <w:rPr>
          <w:rFonts w:ascii="Calibri" w:hAnsi="Calibri" w:cs="Calibri"/>
          <w:color w:val="000000"/>
        </w:rPr>
        <w:lastRenderedPageBreak/>
        <w:t xml:space="preserve">Jedná se o potvrzení závazku zahraničního partnera/zahraničních partnerů účastnit se řešení projektu a shrnutí základních informací o části návrhu projektu řešené zahraničním partnerem/zahraničními partnery, včetně předpokládaného financování zahraniční části projektu (ať formou podpory od zahraniční organizace či jiným způsobem). </w:t>
      </w:r>
    </w:p>
    <w:p w:rsidR="00A86736" w:rsidRPr="00A86736" w:rsidRDefault="00A86736" w:rsidP="00A8673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78" w:line="240" w:lineRule="auto"/>
        <w:rPr>
          <w:rFonts w:ascii="Calibri" w:hAnsi="Calibri" w:cs="Calibri"/>
          <w:color w:val="000000"/>
        </w:rPr>
      </w:pPr>
      <w:r w:rsidRPr="00A86736">
        <w:rPr>
          <w:rFonts w:ascii="Calibri" w:hAnsi="Calibri" w:cs="Calibri"/>
          <w:color w:val="000000"/>
        </w:rPr>
        <w:t xml:space="preserve">Uchazeči vyplňují </w:t>
      </w:r>
      <w:proofErr w:type="spellStart"/>
      <w:r w:rsidRPr="00A86736">
        <w:rPr>
          <w:rFonts w:ascii="Calibri" w:hAnsi="Calibri" w:cs="Calibri"/>
          <w:color w:val="000000"/>
        </w:rPr>
        <w:t>Common</w:t>
      </w:r>
      <w:proofErr w:type="spellEnd"/>
      <w:r w:rsidRPr="00A86736">
        <w:rPr>
          <w:rFonts w:ascii="Calibri" w:hAnsi="Calibri" w:cs="Calibri"/>
          <w:color w:val="000000"/>
        </w:rPr>
        <w:t xml:space="preserve"> </w:t>
      </w:r>
      <w:proofErr w:type="spellStart"/>
      <w:r w:rsidRPr="00A86736">
        <w:rPr>
          <w:rFonts w:ascii="Calibri" w:hAnsi="Calibri" w:cs="Calibri"/>
          <w:color w:val="000000"/>
        </w:rPr>
        <w:t>proposal</w:t>
      </w:r>
      <w:proofErr w:type="spellEnd"/>
      <w:r w:rsidRPr="00A86736">
        <w:rPr>
          <w:rFonts w:ascii="Calibri" w:hAnsi="Calibri" w:cs="Calibri"/>
          <w:color w:val="000000"/>
        </w:rPr>
        <w:t xml:space="preserve"> dle podmínek příslušné zahraniční organizace (pod</w:t>
      </w:r>
      <w:r w:rsidR="002C26C6">
        <w:rPr>
          <w:rFonts w:ascii="Calibri" w:hAnsi="Calibri" w:cs="Calibri"/>
          <w:color w:val="000000"/>
        </w:rPr>
        <w:t xml:space="preserve">le </w:t>
      </w:r>
      <w:hyperlink r:id="rId10" w:history="1">
        <w:r w:rsidR="002C26C6" w:rsidRPr="002C26C6">
          <w:rPr>
            <w:rStyle w:val="Hypertextovodkaz"/>
            <w:rFonts w:ascii="Calibri" w:hAnsi="Calibri" w:cs="Calibri"/>
          </w:rPr>
          <w:t>Přílohy č. 1 Zadávací dokumentace</w:t>
        </w:r>
      </w:hyperlink>
      <w:r w:rsidR="002C26C6">
        <w:rPr>
          <w:rFonts w:ascii="Calibri" w:hAnsi="Calibri" w:cs="Calibri"/>
          <w:color w:val="000000"/>
        </w:rPr>
        <w:t xml:space="preserve">)  </w:t>
      </w:r>
    </w:p>
    <w:p w:rsidR="00A86736" w:rsidRPr="00A86736" w:rsidRDefault="00A86736" w:rsidP="00A8673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78" w:line="240" w:lineRule="auto"/>
        <w:rPr>
          <w:rFonts w:ascii="Calibri" w:hAnsi="Calibri" w:cs="Calibri"/>
          <w:color w:val="000000"/>
        </w:rPr>
      </w:pPr>
      <w:proofErr w:type="spellStart"/>
      <w:r w:rsidRPr="00A86736">
        <w:rPr>
          <w:rFonts w:ascii="Calibri" w:hAnsi="Calibri" w:cs="Calibri"/>
          <w:color w:val="000000"/>
        </w:rPr>
        <w:t>Common</w:t>
      </w:r>
      <w:proofErr w:type="spellEnd"/>
      <w:r w:rsidRPr="00A86736">
        <w:rPr>
          <w:rFonts w:ascii="Calibri" w:hAnsi="Calibri" w:cs="Calibri"/>
          <w:color w:val="000000"/>
        </w:rPr>
        <w:t xml:space="preserve"> </w:t>
      </w:r>
      <w:proofErr w:type="spellStart"/>
      <w:r w:rsidRPr="00A86736">
        <w:rPr>
          <w:rFonts w:ascii="Calibri" w:hAnsi="Calibri" w:cs="Calibri"/>
          <w:color w:val="000000"/>
        </w:rPr>
        <w:t>proposal</w:t>
      </w:r>
      <w:proofErr w:type="spellEnd"/>
      <w:r w:rsidRPr="00A86736">
        <w:rPr>
          <w:rFonts w:ascii="Calibri" w:hAnsi="Calibri" w:cs="Calibri"/>
          <w:color w:val="000000"/>
        </w:rPr>
        <w:t xml:space="preserve"> musí být vyplněný v anglickém jazyce a podepsaný všemi statutárními zástupci na české i zahraniční straně. Výjimku tvoří návrhy projektů podávané ve spolupráci se zahraničními účastníky z kanadské provincie </w:t>
      </w:r>
      <w:proofErr w:type="spellStart"/>
      <w:r w:rsidRPr="00A86736">
        <w:rPr>
          <w:rFonts w:ascii="Calibri" w:hAnsi="Calibri" w:cs="Calibri"/>
          <w:color w:val="000000"/>
        </w:rPr>
        <w:t>Québec</w:t>
      </w:r>
      <w:proofErr w:type="spellEnd"/>
      <w:r w:rsidRPr="00A86736">
        <w:rPr>
          <w:rFonts w:ascii="Calibri" w:hAnsi="Calibri" w:cs="Calibri"/>
          <w:color w:val="000000"/>
        </w:rPr>
        <w:t xml:space="preserve"> (zahraniční organizace CRIAQ), u kterých podpis na kanadské straně připojuje pouze hlavní uchazeč, nikoliv také další účastníci. </w:t>
      </w:r>
    </w:p>
    <w:p w:rsidR="00A86736" w:rsidRDefault="00A86736" w:rsidP="00A8673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86736">
        <w:rPr>
          <w:rFonts w:ascii="Calibri" w:hAnsi="Calibri" w:cs="Calibri"/>
          <w:color w:val="000000"/>
        </w:rPr>
        <w:t xml:space="preserve">Formuláře </w:t>
      </w:r>
      <w:proofErr w:type="spellStart"/>
      <w:r w:rsidRPr="00A86736">
        <w:rPr>
          <w:rFonts w:ascii="Calibri" w:hAnsi="Calibri" w:cs="Calibri"/>
          <w:color w:val="000000"/>
        </w:rPr>
        <w:t>Common</w:t>
      </w:r>
      <w:proofErr w:type="spellEnd"/>
      <w:r w:rsidRPr="00A86736">
        <w:rPr>
          <w:rFonts w:ascii="Calibri" w:hAnsi="Calibri" w:cs="Calibri"/>
          <w:color w:val="000000"/>
        </w:rPr>
        <w:t xml:space="preserve"> </w:t>
      </w:r>
      <w:proofErr w:type="spellStart"/>
      <w:r w:rsidRPr="00A86736">
        <w:rPr>
          <w:rFonts w:ascii="Calibri" w:hAnsi="Calibri" w:cs="Calibri"/>
          <w:color w:val="000000"/>
        </w:rPr>
        <w:t>proposal</w:t>
      </w:r>
      <w:proofErr w:type="spellEnd"/>
      <w:r w:rsidRPr="00A86736">
        <w:rPr>
          <w:rFonts w:ascii="Calibri" w:hAnsi="Calibri" w:cs="Calibri"/>
          <w:color w:val="000000"/>
        </w:rPr>
        <w:t xml:space="preserve"> jsou uvedeny mezi dokumenty spojenými s vyhlášením 3. veřejné soutěže programu DELTA 2. </w:t>
      </w:r>
    </w:p>
    <w:p w:rsidR="00A86736" w:rsidRPr="00A86736" w:rsidRDefault="00A86736" w:rsidP="00A867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300BB" w:rsidRDefault="006300BB" w:rsidP="00A86736">
      <w:r>
        <w:t xml:space="preserve">Ostatní přílohy jsou uvedeny u možných výstupů a výsledků projektu a u přijatelnosti uchazečů. </w:t>
      </w:r>
    </w:p>
    <w:p w:rsidR="00BD011D" w:rsidRDefault="00BD011D" w:rsidP="00A86736"/>
    <w:p w:rsidR="002C26C6" w:rsidRDefault="002C26C6" w:rsidP="006300BB">
      <w:r w:rsidRPr="00BD011D">
        <w:rPr>
          <w:b/>
          <w:color w:val="1F4E79" w:themeColor="accent1" w:themeShade="80"/>
          <w:sz w:val="28"/>
          <w:szCs w:val="28"/>
        </w:rPr>
        <w:t>Nepovinné přílohy</w:t>
      </w:r>
    </w:p>
    <w:p w:rsidR="002C26C6" w:rsidRDefault="002C26C6" w:rsidP="006300BB">
      <w:r>
        <w:t xml:space="preserve">Uchazeči mohou do návrhu projektu přiložit tyto nepovinné přílohy: </w:t>
      </w:r>
    </w:p>
    <w:p w:rsidR="002C26C6" w:rsidRDefault="002C26C6" w:rsidP="002C26C6">
      <w:pPr>
        <w:pStyle w:val="Odstavecseseznamem"/>
        <w:numPr>
          <w:ilvl w:val="0"/>
          <w:numId w:val="28"/>
        </w:numPr>
      </w:pPr>
      <w:r w:rsidRPr="002C26C6">
        <w:rPr>
          <w:b/>
        </w:rPr>
        <w:t xml:space="preserve">Formulář </w:t>
      </w:r>
      <w:proofErr w:type="spellStart"/>
      <w:r w:rsidRPr="002C26C6">
        <w:rPr>
          <w:b/>
        </w:rPr>
        <w:t>Pre-existent</w:t>
      </w:r>
      <w:proofErr w:type="spellEnd"/>
      <w:r w:rsidRPr="002C26C6">
        <w:rPr>
          <w:b/>
        </w:rPr>
        <w:t xml:space="preserve"> </w:t>
      </w:r>
      <w:proofErr w:type="spellStart"/>
      <w:r w:rsidRPr="002C26C6">
        <w:rPr>
          <w:b/>
        </w:rPr>
        <w:t>knowledge</w:t>
      </w:r>
      <w:proofErr w:type="spellEnd"/>
      <w:r>
        <w:t xml:space="preserve"> (znalosti před zahájením projektu), který má následující náležitosti: ○ definuje vstupy, kterými do projektu přispěli uchazeči, např. majetek, znalosti, </w:t>
      </w:r>
      <w:proofErr w:type="spellStart"/>
      <w:r>
        <w:t>knowhow</w:t>
      </w:r>
      <w:proofErr w:type="spellEnd"/>
      <w:r>
        <w:t xml:space="preserve">, což pomůže předcházet možným budoucím sporům; ○ jeho cílem je zajistit ochranu duševního vlastnictví vneseného do projektu. </w:t>
      </w:r>
    </w:p>
    <w:p w:rsidR="002C26C6" w:rsidRDefault="002C26C6" w:rsidP="002C26C6">
      <w:pPr>
        <w:pStyle w:val="Odstavecseseznamem"/>
        <w:numPr>
          <w:ilvl w:val="0"/>
          <w:numId w:val="28"/>
        </w:numPr>
      </w:pPr>
      <w:r w:rsidRPr="002C26C6">
        <w:rPr>
          <w:b/>
        </w:rPr>
        <w:t>Průzkum trhu</w:t>
      </w:r>
      <w:r>
        <w:t>, jehož cílem je popsat komerční předpoklady, předpokládané ekonomické přínosy a uplatnitelnost výstupů/výsledků výzkumu na trhu, který má následující náležitosti:</w:t>
      </w:r>
    </w:p>
    <w:p w:rsidR="002C26C6" w:rsidRDefault="002C26C6" w:rsidP="002C26C6">
      <w:pPr>
        <w:pStyle w:val="Odstavecseseznamem"/>
        <w:numPr>
          <w:ilvl w:val="1"/>
          <w:numId w:val="28"/>
        </w:numPr>
      </w:pPr>
      <w:r>
        <w:t>životní cyklus v daném odvětví, velikost tržního podílu, stručnou charakteristiku konkurence (konkurenčních řešení) nebo určení segmentu a odhadnutí počtu potenciálních zákazníků.</w:t>
      </w:r>
    </w:p>
    <w:p w:rsidR="006300BB" w:rsidRDefault="002C26C6" w:rsidP="002C26C6">
      <w:pPr>
        <w:pStyle w:val="Odstavecseseznamem"/>
        <w:numPr>
          <w:ilvl w:val="1"/>
          <w:numId w:val="28"/>
        </w:numPr>
      </w:pPr>
      <w:r>
        <w:t>Pokud je zjišťována poptávka formou dotazování, pak musí být jasně popsán i vzorek, na němž bylo šetření prováděno. Pokud je průzkum trhu prováděn na základě veřejně dostupných informací, musí být uvedené zdroje.</w:t>
      </w:r>
    </w:p>
    <w:p w:rsidR="00BD011D" w:rsidRDefault="00BD011D" w:rsidP="00BD011D">
      <w:pPr>
        <w:pStyle w:val="Odstavecseseznamem"/>
        <w:ind w:left="1440"/>
      </w:pPr>
    </w:p>
    <w:p w:rsidR="006300BB" w:rsidRDefault="00BE6CDC" w:rsidP="006300BB">
      <w:pPr>
        <w:rPr>
          <w:b/>
          <w:color w:val="1F4E79" w:themeColor="accent1" w:themeShade="80"/>
          <w:sz w:val="28"/>
          <w:szCs w:val="28"/>
        </w:rPr>
      </w:pPr>
      <w:r w:rsidRPr="00BE6CDC">
        <w:rPr>
          <w:b/>
          <w:color w:val="1F4E79" w:themeColor="accent1" w:themeShade="80"/>
          <w:sz w:val="28"/>
          <w:szCs w:val="28"/>
        </w:rPr>
        <w:t>Hodnocení návrhu</w:t>
      </w:r>
      <w:r>
        <w:rPr>
          <w:b/>
          <w:color w:val="1F4E79" w:themeColor="accent1" w:themeShade="80"/>
          <w:sz w:val="28"/>
          <w:szCs w:val="28"/>
        </w:rPr>
        <w:t>:</w:t>
      </w:r>
    </w:p>
    <w:p w:rsidR="001D7DE3" w:rsidRDefault="00BE6CDC" w:rsidP="006300BB">
      <w:r w:rsidRPr="00BE6CDC">
        <w:t xml:space="preserve">Podrobné podmínky hodnocení návrhu projektu jsou uvedeny na stránkách </w:t>
      </w:r>
      <w:r w:rsidR="002C26C6">
        <w:t>15 - 16</w:t>
      </w:r>
      <w:r w:rsidRPr="00BE6CDC">
        <w:t xml:space="preserve"> </w:t>
      </w:r>
      <w:r w:rsidR="00DE497C">
        <w:t xml:space="preserve">zadávací dokumentace </w:t>
      </w:r>
      <w:r w:rsidRPr="00BE6CDC">
        <w:t xml:space="preserve">a dále jsou podrobně rozpracovány </w:t>
      </w:r>
      <w:r w:rsidR="002C26C6">
        <w:t>v </w:t>
      </w:r>
      <w:hyperlink r:id="rId11" w:history="1">
        <w:r w:rsidR="002C26C6" w:rsidRPr="002C26C6">
          <w:rPr>
            <w:rStyle w:val="Hypertextovodkaz"/>
          </w:rPr>
          <w:t xml:space="preserve">Příloze </w:t>
        </w:r>
        <w:r w:rsidR="002C26C6">
          <w:rPr>
            <w:rStyle w:val="Hypertextovodkaz"/>
          </w:rPr>
          <w:t xml:space="preserve">2 - </w:t>
        </w:r>
        <w:r w:rsidR="002C26C6" w:rsidRPr="002C26C6">
          <w:rPr>
            <w:rStyle w:val="Hypertextovodkaz"/>
          </w:rPr>
          <w:t>Hodnotící proces</w:t>
        </w:r>
      </w:hyperlink>
      <w:r w:rsidR="002C26C6">
        <w:t>.</w:t>
      </w:r>
    </w:p>
    <w:sectPr w:rsidR="001D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E34"/>
    <w:multiLevelType w:val="hybridMultilevel"/>
    <w:tmpl w:val="73A2A04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07A"/>
    <w:multiLevelType w:val="hybridMultilevel"/>
    <w:tmpl w:val="3F2CCFE0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F7C5F"/>
    <w:multiLevelType w:val="hybridMultilevel"/>
    <w:tmpl w:val="173C96F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2490"/>
    <w:multiLevelType w:val="hybridMultilevel"/>
    <w:tmpl w:val="E750A156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835AB"/>
    <w:multiLevelType w:val="hybridMultilevel"/>
    <w:tmpl w:val="1D3E1D1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67ED"/>
    <w:multiLevelType w:val="hybridMultilevel"/>
    <w:tmpl w:val="8F285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48E7"/>
    <w:multiLevelType w:val="hybridMultilevel"/>
    <w:tmpl w:val="AF5A853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F29F7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0DD2"/>
    <w:multiLevelType w:val="hybridMultilevel"/>
    <w:tmpl w:val="CCC41D5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763AB"/>
    <w:multiLevelType w:val="hybridMultilevel"/>
    <w:tmpl w:val="A482981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0AF5"/>
    <w:multiLevelType w:val="hybridMultilevel"/>
    <w:tmpl w:val="F9B6493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C1C2B"/>
    <w:multiLevelType w:val="hybridMultilevel"/>
    <w:tmpl w:val="8BC8F5A8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B2267"/>
    <w:multiLevelType w:val="hybridMultilevel"/>
    <w:tmpl w:val="AC886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0245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67948"/>
    <w:multiLevelType w:val="hybridMultilevel"/>
    <w:tmpl w:val="495CD98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40A23"/>
    <w:multiLevelType w:val="hybridMultilevel"/>
    <w:tmpl w:val="2596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1EFF"/>
    <w:multiLevelType w:val="hybridMultilevel"/>
    <w:tmpl w:val="A37C5E3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87472"/>
    <w:multiLevelType w:val="hybridMultilevel"/>
    <w:tmpl w:val="FD0077E0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D156F"/>
    <w:multiLevelType w:val="hybridMultilevel"/>
    <w:tmpl w:val="0B643D06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B11AA1"/>
    <w:multiLevelType w:val="hybridMultilevel"/>
    <w:tmpl w:val="B0F2BFC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E6507"/>
    <w:multiLevelType w:val="hybridMultilevel"/>
    <w:tmpl w:val="02CCC3C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C4CDF"/>
    <w:multiLevelType w:val="hybridMultilevel"/>
    <w:tmpl w:val="B70E26F4"/>
    <w:lvl w:ilvl="0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302E91"/>
    <w:multiLevelType w:val="hybridMultilevel"/>
    <w:tmpl w:val="4E28AA0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25E0E"/>
    <w:multiLevelType w:val="hybridMultilevel"/>
    <w:tmpl w:val="2FCE4EE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7C11"/>
    <w:multiLevelType w:val="hybridMultilevel"/>
    <w:tmpl w:val="C352B5E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8"/>
  </w:num>
  <w:num w:numId="5">
    <w:abstractNumId w:val="12"/>
  </w:num>
  <w:num w:numId="6">
    <w:abstractNumId w:val="17"/>
  </w:num>
  <w:num w:numId="7">
    <w:abstractNumId w:val="25"/>
  </w:num>
  <w:num w:numId="8">
    <w:abstractNumId w:val="13"/>
  </w:num>
  <w:num w:numId="9">
    <w:abstractNumId w:val="18"/>
  </w:num>
  <w:num w:numId="10">
    <w:abstractNumId w:val="2"/>
  </w:num>
  <w:num w:numId="11">
    <w:abstractNumId w:val="23"/>
  </w:num>
  <w:num w:numId="12">
    <w:abstractNumId w:val="0"/>
  </w:num>
  <w:num w:numId="13">
    <w:abstractNumId w:val="27"/>
  </w:num>
  <w:num w:numId="14">
    <w:abstractNumId w:val="3"/>
  </w:num>
  <w:num w:numId="15">
    <w:abstractNumId w:val="14"/>
  </w:num>
  <w:num w:numId="16">
    <w:abstractNumId w:val="5"/>
  </w:num>
  <w:num w:numId="17">
    <w:abstractNumId w:val="22"/>
  </w:num>
  <w:num w:numId="18">
    <w:abstractNumId w:val="6"/>
  </w:num>
  <w:num w:numId="19">
    <w:abstractNumId w:val="24"/>
  </w:num>
  <w:num w:numId="20">
    <w:abstractNumId w:val="21"/>
  </w:num>
  <w:num w:numId="21">
    <w:abstractNumId w:val="7"/>
  </w:num>
  <w:num w:numId="22">
    <w:abstractNumId w:val="1"/>
  </w:num>
  <w:num w:numId="23">
    <w:abstractNumId w:val="15"/>
  </w:num>
  <w:num w:numId="24">
    <w:abstractNumId w:val="26"/>
  </w:num>
  <w:num w:numId="25">
    <w:abstractNumId w:val="10"/>
  </w:num>
  <w:num w:numId="26">
    <w:abstractNumId w:val="11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0405A"/>
    <w:rsid w:val="001B5539"/>
    <w:rsid w:val="001D7DE3"/>
    <w:rsid w:val="002425FA"/>
    <w:rsid w:val="00294F2E"/>
    <w:rsid w:val="002C26C6"/>
    <w:rsid w:val="002D1982"/>
    <w:rsid w:val="003206E0"/>
    <w:rsid w:val="00364EAC"/>
    <w:rsid w:val="003F6BD9"/>
    <w:rsid w:val="004B6861"/>
    <w:rsid w:val="00522E05"/>
    <w:rsid w:val="00552D72"/>
    <w:rsid w:val="00563DF1"/>
    <w:rsid w:val="0057770F"/>
    <w:rsid w:val="005918A0"/>
    <w:rsid w:val="005E1E90"/>
    <w:rsid w:val="005E71F4"/>
    <w:rsid w:val="005F4E49"/>
    <w:rsid w:val="006300BB"/>
    <w:rsid w:val="006A1261"/>
    <w:rsid w:val="006A5CBC"/>
    <w:rsid w:val="007C2781"/>
    <w:rsid w:val="007E344D"/>
    <w:rsid w:val="00821503"/>
    <w:rsid w:val="00837080"/>
    <w:rsid w:val="00850853"/>
    <w:rsid w:val="00866992"/>
    <w:rsid w:val="00894BEB"/>
    <w:rsid w:val="008A661B"/>
    <w:rsid w:val="00965FD7"/>
    <w:rsid w:val="009D66C6"/>
    <w:rsid w:val="009D7493"/>
    <w:rsid w:val="00A37535"/>
    <w:rsid w:val="00A86736"/>
    <w:rsid w:val="00AD0BCF"/>
    <w:rsid w:val="00AF3498"/>
    <w:rsid w:val="00B82176"/>
    <w:rsid w:val="00BC71EE"/>
    <w:rsid w:val="00BD011D"/>
    <w:rsid w:val="00BE6CDC"/>
    <w:rsid w:val="00C10D9F"/>
    <w:rsid w:val="00C4109A"/>
    <w:rsid w:val="00C4569A"/>
    <w:rsid w:val="00CA7EB0"/>
    <w:rsid w:val="00CC39C8"/>
    <w:rsid w:val="00CF3509"/>
    <w:rsid w:val="00D02719"/>
    <w:rsid w:val="00D658FB"/>
    <w:rsid w:val="00D66035"/>
    <w:rsid w:val="00DA38BF"/>
    <w:rsid w:val="00DC372A"/>
    <w:rsid w:val="00DD0423"/>
    <w:rsid w:val="00DD097B"/>
    <w:rsid w:val="00DE497C"/>
    <w:rsid w:val="00EB3EF0"/>
    <w:rsid w:val="00EE5F2B"/>
    <w:rsid w:val="00F148C0"/>
    <w:rsid w:val="00F3107A"/>
    <w:rsid w:val="00F90DCD"/>
    <w:rsid w:val="00F96793"/>
    <w:rsid w:val="00FC3808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FA55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349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7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r.cz/soutez/program-delta-2/ctvrta-verejna-soutez-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skova@vutb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hyperlink" Target="https://www.tacr.cz/wp-content/uploads/documents/2022/05/17/1652806046_P%C5%99%C3%ADloha%20%C4%8D.%202%20-%20Hodnotic%C3%AD%20proces.pdf" TargetMode="External"/><Relationship Id="rId5" Type="http://schemas.openxmlformats.org/officeDocument/2006/relationships/hyperlink" Target="mailto:legatova@vutbr.cz" TargetMode="External"/><Relationship Id="rId10" Type="http://schemas.openxmlformats.org/officeDocument/2006/relationships/hyperlink" Target="https://www.tacr.cz/wp-content/uploads/documents/2022/05/17/1652805875_P%C5%99%C3%ADloha%20%C4%8D.%201%20-%20Specifick%C3%A9%20podm%C3%ADnky%20jednotliv%C3%BDch%20zahrani%C4%8Dn%C3%ADch%20organizac%C3%A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a.tacr.cz/ISTA/action/Login/?actionId=26177460554028970&amp;step=0&amp;ts=1560349268592&amp;hash=PIPB5ah8Cwz2I7whWtNq7A==&amp;nbl=tru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1570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Vavrečková Eva (233793)</cp:lastModifiedBy>
  <cp:revision>3</cp:revision>
  <dcterms:created xsi:type="dcterms:W3CDTF">2022-05-23T07:02:00Z</dcterms:created>
  <dcterms:modified xsi:type="dcterms:W3CDTF">2022-05-23T07:05:00Z</dcterms:modified>
</cp:coreProperties>
</file>