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0FBB7" w14:textId="77777777" w:rsidR="00A91515" w:rsidRPr="00435CC6" w:rsidRDefault="00397964">
      <w:pPr>
        <w:rPr>
          <w:b/>
          <w:sz w:val="28"/>
          <w:szCs w:val="28"/>
        </w:rPr>
      </w:pPr>
      <w:r w:rsidRPr="00435CC6">
        <w:rPr>
          <w:b/>
          <w:sz w:val="28"/>
          <w:szCs w:val="28"/>
        </w:rPr>
        <w:t>Informace k d</w:t>
      </w:r>
      <w:r w:rsidR="00625588" w:rsidRPr="00435CC6">
        <w:rPr>
          <w:b/>
          <w:sz w:val="28"/>
          <w:szCs w:val="28"/>
        </w:rPr>
        <w:t>ofinancování TAČR TREND</w:t>
      </w:r>
    </w:p>
    <w:p w14:paraId="03B565BD" w14:textId="77777777" w:rsidR="00397964" w:rsidRPr="00435CC6" w:rsidRDefault="00397964"/>
    <w:p w14:paraId="610CB75C" w14:textId="0252BDF1" w:rsidR="00397964" w:rsidRDefault="00A14A24" w:rsidP="00397964">
      <w:pPr>
        <w:pStyle w:val="Prosttext"/>
      </w:pPr>
      <w:r>
        <w:t>Šestá</w:t>
      </w:r>
      <w:r w:rsidR="00EA1AB8">
        <w:t xml:space="preserve"> </w:t>
      </w:r>
      <w:r w:rsidR="00DA0789">
        <w:t xml:space="preserve">a sedmá </w:t>
      </w:r>
      <w:r w:rsidR="00397964" w:rsidRPr="00435CC6">
        <w:t xml:space="preserve">výzva programu TAČR TREND, </w:t>
      </w:r>
      <w:r w:rsidR="00EA1AB8">
        <w:t>umožňuje pro v</w:t>
      </w:r>
      <w:r w:rsidR="00397964" w:rsidRPr="00435CC6">
        <w:t xml:space="preserve">ýzkumné organizace, tedy i univerzity </w:t>
      </w:r>
      <w:r>
        <w:t>pouze 90</w:t>
      </w:r>
      <w:r w:rsidR="00EA1AB8">
        <w:t xml:space="preserve"> </w:t>
      </w:r>
      <w:r w:rsidR="00435CC6" w:rsidRPr="00435CC6">
        <w:t>%</w:t>
      </w:r>
      <w:r w:rsidR="00397964" w:rsidRPr="00435CC6">
        <w:t xml:space="preserve"> dotaci</w:t>
      </w:r>
      <w:r w:rsidR="00EA1AB8">
        <w:t xml:space="preserve"> (míru podpory)</w:t>
      </w:r>
      <w:r w:rsidR="00397964" w:rsidRPr="00435CC6">
        <w:t xml:space="preserve">. </w:t>
      </w:r>
      <w:r w:rsidRPr="00A14A24">
        <w:rPr>
          <w:u w:val="single"/>
        </w:rPr>
        <w:t>V</w:t>
      </w:r>
      <w:r>
        <w:rPr>
          <w:u w:val="single"/>
        </w:rPr>
        <w:t>UT</w:t>
      </w:r>
      <w:r w:rsidRPr="00A14A24">
        <w:rPr>
          <w:u w:val="single"/>
        </w:rPr>
        <w:t xml:space="preserve"> se</w:t>
      </w:r>
      <w:r w:rsidR="007612C2" w:rsidRPr="00A14A24">
        <w:t xml:space="preserve"> účastní</w:t>
      </w:r>
      <w:r w:rsidR="007612C2" w:rsidRPr="00435CC6">
        <w:t xml:space="preserve"> jako spoluřešitel</w:t>
      </w:r>
      <w:r>
        <w:t xml:space="preserve">, </w:t>
      </w:r>
      <w:r w:rsidR="005E1DE8">
        <w:t xml:space="preserve">spolufinancování </w:t>
      </w:r>
      <w:r w:rsidR="00397964" w:rsidRPr="00435CC6">
        <w:t>může být</w:t>
      </w:r>
      <w:r>
        <w:t xml:space="preserve"> z ostatních zdrojů (veřejných i neveřejných)</w:t>
      </w:r>
      <w:r w:rsidR="00397964" w:rsidRPr="00435CC6">
        <w:t>. To</w:t>
      </w:r>
      <w:r w:rsidR="0077026B" w:rsidRPr="00435CC6">
        <w:t xml:space="preserve"> je zásadní a</w:t>
      </w:r>
      <w:r w:rsidR="00EA1AB8">
        <w:t> </w:t>
      </w:r>
      <w:r w:rsidR="0077026B" w:rsidRPr="00435CC6">
        <w:t>obecně usnadňuje kofinancování v podmínkách VUT.</w:t>
      </w:r>
      <w:r w:rsidR="005E1DE8">
        <w:t xml:space="preserve"> J</w:t>
      </w:r>
      <w:r w:rsidR="005E1DE8" w:rsidRPr="00435CC6">
        <w:t xml:space="preserve">e </w:t>
      </w:r>
      <w:r w:rsidR="005E1DE8">
        <w:t>tedy po</w:t>
      </w:r>
      <w:r w:rsidR="005E1DE8" w:rsidRPr="00435CC6">
        <w:t xml:space="preserve">třeba </w:t>
      </w:r>
      <w:r w:rsidR="00303894">
        <w:t xml:space="preserve">spolufinancovat </w:t>
      </w:r>
      <w:r w:rsidR="00397964" w:rsidRPr="00435CC6">
        <w:rPr>
          <w:b/>
          <w:u w:val="single"/>
        </w:rPr>
        <w:t>10</w:t>
      </w:r>
      <w:r w:rsidR="005E1DE8">
        <w:rPr>
          <w:b/>
          <w:u w:val="single"/>
        </w:rPr>
        <w:t xml:space="preserve"> </w:t>
      </w:r>
      <w:r w:rsidR="00397964" w:rsidRPr="00435CC6">
        <w:rPr>
          <w:b/>
          <w:u w:val="single"/>
        </w:rPr>
        <w:t>%</w:t>
      </w:r>
      <w:r w:rsidR="007612C2" w:rsidRPr="00435CC6">
        <w:t>.</w:t>
      </w:r>
    </w:p>
    <w:p w14:paraId="3FE32B00" w14:textId="77777777" w:rsidR="00A207AF" w:rsidRDefault="00A207AF" w:rsidP="00397964">
      <w:pPr>
        <w:pStyle w:val="Prosttext"/>
      </w:pPr>
    </w:p>
    <w:p w14:paraId="08F56C08" w14:textId="77777777" w:rsidR="00A207AF" w:rsidRPr="0028405C" w:rsidRDefault="00A207AF" w:rsidP="00496322">
      <w:pPr>
        <w:pStyle w:val="Prosttext"/>
        <w:numPr>
          <w:ilvl w:val="0"/>
          <w:numId w:val="3"/>
        </w:numPr>
        <w:tabs>
          <w:tab w:val="left" w:pos="2410"/>
        </w:tabs>
      </w:pPr>
      <w:r w:rsidRPr="0028405C">
        <w:t>VUT bude vždy v projektech TAČR Trend vystupovat v roli dalšího uchazeče, tzn. jako výzkumná organizace (VO</w:t>
      </w:r>
      <w:r w:rsidR="008A6074" w:rsidRPr="0028405C">
        <w:t>) a</w:t>
      </w:r>
      <w:r w:rsidRPr="0028405C">
        <w:t xml:space="preserve"> která je zapojena v rámci </w:t>
      </w:r>
      <w:proofErr w:type="spellStart"/>
      <w:r w:rsidRPr="0028405C">
        <w:t>nehospodářských</w:t>
      </w:r>
      <w:proofErr w:type="spellEnd"/>
      <w:r w:rsidRPr="0028405C">
        <w:t xml:space="preserve"> činností. </w:t>
      </w:r>
    </w:p>
    <w:p w14:paraId="4A3E17E4" w14:textId="77777777" w:rsidR="002927BF" w:rsidRPr="0028405C" w:rsidRDefault="002927BF" w:rsidP="002927BF">
      <w:pPr>
        <w:pStyle w:val="Prosttext"/>
        <w:numPr>
          <w:ilvl w:val="0"/>
          <w:numId w:val="3"/>
        </w:numPr>
        <w:tabs>
          <w:tab w:val="left" w:pos="2410"/>
        </w:tabs>
      </w:pPr>
      <w:r w:rsidRPr="0028405C">
        <w:t xml:space="preserve">NEHOČ náplň projektu a smluvní vztahy mezi partnery, včetně transferu technologií je ošetřena </w:t>
      </w:r>
      <w:r w:rsidR="005E1DE8">
        <w:t xml:space="preserve">následně </w:t>
      </w:r>
      <w:r w:rsidRPr="0028405C">
        <w:t>ve vzoru smlouvy o účasti, kterou dostanou úspěšní uchazeči k dispozici. Současně platí, že příjmy za výsledky (např. licenční poplatky či za úplný prodej duševního vlastnictví) je následně možné využívat pouze na tzv. primární činnosti (což je věda, výzkum, vzdělávání, v jejich rámci např. osobní náklady či nákup materiálu apod.) a tedy se nevrací. To se následně i dokladuje každoročním výkazem, který</w:t>
      </w:r>
      <w:r w:rsidR="00DA1A6E" w:rsidRPr="0028405C">
        <w:t xml:space="preserve"> VUT </w:t>
      </w:r>
      <w:r w:rsidRPr="0028405C">
        <w:t xml:space="preserve">jako </w:t>
      </w:r>
      <w:r w:rsidR="00DA1A6E" w:rsidRPr="0028405C">
        <w:t>VO</w:t>
      </w:r>
      <w:r w:rsidRPr="0028405C">
        <w:t xml:space="preserve"> zasílá na MŠMT.</w:t>
      </w:r>
    </w:p>
    <w:p w14:paraId="4B276D61" w14:textId="6FD365B9" w:rsidR="008A6074" w:rsidRPr="00811FD2" w:rsidRDefault="00877C87" w:rsidP="008A6074">
      <w:pPr>
        <w:pStyle w:val="Prosttext"/>
        <w:numPr>
          <w:ilvl w:val="0"/>
          <w:numId w:val="3"/>
        </w:numPr>
      </w:pPr>
      <w:r>
        <w:t xml:space="preserve">Jak s DPH se rozhodujete podle tohoto </w:t>
      </w:r>
      <w:hyperlink r:id="rId7" w:history="1">
        <w:r w:rsidRPr="00811FD2">
          <w:rPr>
            <w:rStyle w:val="Hypertextovodkaz"/>
          </w:rPr>
          <w:t>diagramu.</w:t>
        </w:r>
      </w:hyperlink>
      <w:r w:rsidRPr="00811FD2">
        <w:t xml:space="preserve"> </w:t>
      </w:r>
    </w:p>
    <w:p w14:paraId="429BFD20" w14:textId="0E07BDD8" w:rsidR="00A14A24" w:rsidRDefault="00A14A24" w:rsidP="00A14A24">
      <w:pPr>
        <w:pStyle w:val="Prosttext"/>
      </w:pPr>
    </w:p>
    <w:p w14:paraId="754A9B20" w14:textId="77777777" w:rsidR="00A14A24" w:rsidRPr="00822649" w:rsidRDefault="00A14A24" w:rsidP="00A14A24">
      <w:pPr>
        <w:pStyle w:val="Prosttext"/>
        <w:rPr>
          <w:b/>
        </w:rPr>
      </w:pPr>
      <w:r w:rsidRPr="00822649">
        <w:rPr>
          <w:b/>
        </w:rPr>
        <w:t>Možnosti dofinancování:</w:t>
      </w:r>
    </w:p>
    <w:p w14:paraId="4A2E070C" w14:textId="77777777" w:rsidR="00397964" w:rsidRPr="00435CC6" w:rsidRDefault="00397964" w:rsidP="00397964">
      <w:pPr>
        <w:pStyle w:val="Prosttext"/>
      </w:pPr>
    </w:p>
    <w:p w14:paraId="62D12AE7" w14:textId="77777777" w:rsidR="00397964" w:rsidRPr="00A14A24" w:rsidRDefault="00397964" w:rsidP="00A14A24">
      <w:pPr>
        <w:pStyle w:val="Odstavecseseznamem"/>
        <w:numPr>
          <w:ilvl w:val="0"/>
          <w:numId w:val="4"/>
        </w:numPr>
        <w:rPr>
          <w:b/>
        </w:rPr>
      </w:pPr>
      <w:r w:rsidRPr="00A14A24">
        <w:rPr>
          <w:b/>
        </w:rPr>
        <w:t>Dofinancování z části tari</w:t>
      </w:r>
      <w:r w:rsidR="00275755" w:rsidRPr="00A14A24">
        <w:rPr>
          <w:b/>
        </w:rPr>
        <w:t>fní mzdy pracovníků ze zdroje 211</w:t>
      </w:r>
      <w:r w:rsidRPr="00A14A24">
        <w:rPr>
          <w:b/>
        </w:rPr>
        <w:t>00</w:t>
      </w:r>
    </w:p>
    <w:p w14:paraId="0D67CE11" w14:textId="6EC7B67C" w:rsidR="00C35899" w:rsidRPr="00435CC6" w:rsidRDefault="00DD1F51">
      <w:pPr>
        <w:rPr>
          <w:color w:val="000000" w:themeColor="text1"/>
        </w:rPr>
      </w:pPr>
      <w:r w:rsidRPr="00435CC6">
        <w:t xml:space="preserve">Technicky </w:t>
      </w:r>
      <w:r w:rsidR="0077026B" w:rsidRPr="00435CC6">
        <w:t>lze realizovat jako</w:t>
      </w:r>
      <w:r w:rsidRPr="00435CC6">
        <w:t xml:space="preserve"> </w:t>
      </w:r>
      <w:proofErr w:type="spellStart"/>
      <w:r w:rsidRPr="00435CC6">
        <w:t>pronákladování</w:t>
      </w:r>
      <w:proofErr w:type="spellEnd"/>
      <w:r w:rsidRPr="00435CC6">
        <w:t xml:space="preserve"> odpovídající část</w:t>
      </w:r>
      <w:r w:rsidR="00DA0789">
        <w:t>i</w:t>
      </w:r>
      <w:r w:rsidRPr="00435CC6">
        <w:t xml:space="preserve"> výdaji, které vznikají tak jako tak – mzdy pracovníků</w:t>
      </w:r>
      <w:r w:rsidRPr="00435CC6">
        <w:rPr>
          <w:color w:val="000000" w:themeColor="text1"/>
        </w:rPr>
        <w:t xml:space="preserve"> (pro fakultu to nejsou další výdaje).</w:t>
      </w:r>
      <w:r w:rsidR="00C34D66" w:rsidRPr="00435CC6">
        <w:rPr>
          <w:color w:val="000000" w:themeColor="text1"/>
        </w:rPr>
        <w:t xml:space="preserve"> Nejlépe je použít poměrnou část tarifní mzdy </w:t>
      </w:r>
      <w:r w:rsidR="008E52C1">
        <w:rPr>
          <w:color w:val="000000" w:themeColor="text1"/>
        </w:rPr>
        <w:t xml:space="preserve">a osobního ohodnocení </w:t>
      </w:r>
      <w:r w:rsidR="00B15879" w:rsidRPr="00435CC6">
        <w:rPr>
          <w:color w:val="000000" w:themeColor="text1"/>
        </w:rPr>
        <w:t>vyplácenou z institucionální podpory (zakázka</w:t>
      </w:r>
      <w:r w:rsidR="00C34D66" w:rsidRPr="00435CC6">
        <w:rPr>
          <w:color w:val="000000" w:themeColor="text1"/>
        </w:rPr>
        <w:t xml:space="preserve"> </w:t>
      </w:r>
      <w:r w:rsidR="00BD1491" w:rsidRPr="00435CC6">
        <w:rPr>
          <w:color w:val="000000" w:themeColor="text1"/>
        </w:rPr>
        <w:t>2</w:t>
      </w:r>
      <w:r w:rsidR="00C34D66" w:rsidRPr="00435CC6">
        <w:rPr>
          <w:color w:val="000000" w:themeColor="text1"/>
        </w:rPr>
        <w:t>1</w:t>
      </w:r>
      <w:r w:rsidR="00BD1491" w:rsidRPr="00435CC6">
        <w:rPr>
          <w:color w:val="000000" w:themeColor="text1"/>
        </w:rPr>
        <w:t>1</w:t>
      </w:r>
      <w:r w:rsidR="00C34D66" w:rsidRPr="00435CC6">
        <w:rPr>
          <w:color w:val="000000" w:themeColor="text1"/>
        </w:rPr>
        <w:t>00</w:t>
      </w:r>
      <w:r w:rsidR="00B15879" w:rsidRPr="00435CC6">
        <w:rPr>
          <w:color w:val="000000" w:themeColor="text1"/>
        </w:rPr>
        <w:t>), kterou mají AP pracovníci</w:t>
      </w:r>
      <w:r w:rsidR="00C34D66" w:rsidRPr="00435CC6">
        <w:rPr>
          <w:color w:val="000000" w:themeColor="text1"/>
        </w:rPr>
        <w:t xml:space="preserve">. </w:t>
      </w:r>
      <w:r w:rsidR="00C35899" w:rsidRPr="00435CC6">
        <w:rPr>
          <w:color w:val="000000" w:themeColor="text1"/>
        </w:rPr>
        <w:t>Toto dofinancování lze realizovat pouze z úvazku smlouvy I.</w:t>
      </w:r>
    </w:p>
    <w:p w14:paraId="62591619" w14:textId="572AC600" w:rsidR="0077026B" w:rsidRPr="00435CC6" w:rsidRDefault="0077026B">
      <w:pPr>
        <w:rPr>
          <w:color w:val="000000" w:themeColor="text1"/>
        </w:rPr>
      </w:pPr>
      <w:r w:rsidRPr="00435CC6">
        <w:rPr>
          <w:color w:val="000000" w:themeColor="text1"/>
        </w:rPr>
        <w:t xml:space="preserve">Navrhovatel a posléze řešitel musí pouze brát </w:t>
      </w:r>
      <w:r w:rsidR="00397964" w:rsidRPr="00435CC6">
        <w:rPr>
          <w:color w:val="000000" w:themeColor="text1"/>
        </w:rPr>
        <w:t xml:space="preserve">do úvahy </w:t>
      </w:r>
      <w:r w:rsidR="00C35899" w:rsidRPr="00435CC6">
        <w:rPr>
          <w:color w:val="000000" w:themeColor="text1"/>
        </w:rPr>
        <w:t xml:space="preserve">následující možné problémy při </w:t>
      </w:r>
      <w:r w:rsidR="00470CC7">
        <w:rPr>
          <w:color w:val="000000" w:themeColor="text1"/>
        </w:rPr>
        <w:t>tomto způsobu spolufinancování</w:t>
      </w:r>
      <w:r w:rsidR="00C35899" w:rsidRPr="00435CC6">
        <w:rPr>
          <w:color w:val="000000" w:themeColor="text1"/>
        </w:rPr>
        <w:t>:</w:t>
      </w:r>
    </w:p>
    <w:p w14:paraId="0EB1B891" w14:textId="77777777" w:rsidR="00C35899" w:rsidRPr="00435CC6" w:rsidRDefault="00C35899" w:rsidP="00C35899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435CC6">
        <w:rPr>
          <w:color w:val="000000" w:themeColor="text1"/>
        </w:rPr>
        <w:t xml:space="preserve">Pracovník je pouze na projektu (nelze ho dofinancovat z jeho neexistujícího zdroje </w:t>
      </w:r>
      <w:r w:rsidR="00B15879" w:rsidRPr="00435CC6">
        <w:rPr>
          <w:color w:val="000000" w:themeColor="text1"/>
        </w:rPr>
        <w:t>21</w:t>
      </w:r>
      <w:r w:rsidRPr="00435CC6">
        <w:rPr>
          <w:color w:val="000000" w:themeColor="text1"/>
        </w:rPr>
        <w:t>100, třeba použít jiného pracovníka)</w:t>
      </w:r>
    </w:p>
    <w:p w14:paraId="53025357" w14:textId="77777777" w:rsidR="00C35899" w:rsidRPr="00435CC6" w:rsidRDefault="00C35899" w:rsidP="00C35899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435CC6">
        <w:rPr>
          <w:color w:val="000000" w:themeColor="text1"/>
        </w:rPr>
        <w:t xml:space="preserve">Pracovník má extrémně malý úvazek na zdroji </w:t>
      </w:r>
      <w:r w:rsidR="00B15879" w:rsidRPr="00435CC6">
        <w:rPr>
          <w:color w:val="000000" w:themeColor="text1"/>
        </w:rPr>
        <w:t>21</w:t>
      </w:r>
      <w:r w:rsidRPr="00435CC6">
        <w:rPr>
          <w:color w:val="000000" w:themeColor="text1"/>
        </w:rPr>
        <w:t>100, přesněji řečeno „zbytek“ do 1 FTE na smlouvě I (opět nutno použít jiného pracovníka)</w:t>
      </w:r>
    </w:p>
    <w:p w14:paraId="1B440115" w14:textId="7F0846A6" w:rsidR="005268CE" w:rsidRPr="00435CC6" w:rsidRDefault="00C34D66" w:rsidP="00A455C8">
      <w:r w:rsidRPr="00435CC6">
        <w:t xml:space="preserve">Při návrhu projektu </w:t>
      </w:r>
      <w:r w:rsidR="005268CE" w:rsidRPr="00435CC6">
        <w:t xml:space="preserve">řešitel </w:t>
      </w:r>
      <w:r w:rsidRPr="00435CC6">
        <w:t>kofinancování</w:t>
      </w:r>
      <w:r w:rsidR="005268CE" w:rsidRPr="00435CC6">
        <w:t xml:space="preserve"> uvádí pouze jako závazek v podobě jednoho čísla v každém roce</w:t>
      </w:r>
      <w:r w:rsidRPr="00435CC6">
        <w:t>.</w:t>
      </w:r>
      <w:r w:rsidR="00397964" w:rsidRPr="00435CC6">
        <w:t xml:space="preserve"> Uvádí se v návrhu projektu a v průvodce. </w:t>
      </w:r>
      <w:r w:rsidRPr="00435CC6">
        <w:t xml:space="preserve"> </w:t>
      </w:r>
      <w:r w:rsidR="005268CE" w:rsidRPr="00435CC6">
        <w:t xml:space="preserve">Agentuře je jedno, které typy nákladů chce v budoucnu </w:t>
      </w:r>
      <w:r w:rsidR="00F64678">
        <w:t>spolufinancovat</w:t>
      </w:r>
      <w:r w:rsidR="005268CE" w:rsidRPr="00435CC6">
        <w:t xml:space="preserve">. </w:t>
      </w:r>
      <w:r w:rsidR="00877C87">
        <w:t>V době návrhu už musí mít řešitel rozmyšleno a dohodnuto s vedoucím pracoviště, které úvazky kolegů budou takto použity.</w:t>
      </w:r>
    </w:p>
    <w:p w14:paraId="1AEA3941" w14:textId="77777777" w:rsidR="00CE36E4" w:rsidRPr="00435CC6" w:rsidRDefault="00CE36E4" w:rsidP="005268CE">
      <w:r w:rsidRPr="00435CC6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16C75E" wp14:editId="06EB5165">
            <wp:simplePos x="0" y="0"/>
            <wp:positionH relativeFrom="column">
              <wp:posOffset>0</wp:posOffset>
            </wp:positionH>
            <wp:positionV relativeFrom="paragraph">
              <wp:posOffset>303159</wp:posOffset>
            </wp:positionV>
            <wp:extent cx="576072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500" y="21113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CC6">
        <w:t>Následná ukázka vzoru vyplnění žádosti</w:t>
      </w:r>
      <w:r w:rsidR="00F638BD" w:rsidRPr="00435CC6">
        <w:t xml:space="preserve"> pro „obarvení“ části svého úvazku a vykázání v TAČR TREND</w:t>
      </w:r>
      <w:r w:rsidRPr="00435CC6">
        <w:t>:</w:t>
      </w:r>
    </w:p>
    <w:p w14:paraId="26A3360D" w14:textId="370203F9" w:rsidR="00CE36E4" w:rsidRDefault="00CE36E4" w:rsidP="005268CE">
      <w:r w:rsidRPr="00435CC6">
        <w:t xml:space="preserve">V žádosti je nutné vždy následně vyplnit </w:t>
      </w:r>
      <w:r w:rsidR="00DA0789">
        <w:t>„</w:t>
      </w:r>
      <w:r w:rsidRPr="00435CC6">
        <w:t>nezapracovávat do os</w:t>
      </w:r>
      <w:r w:rsidR="00DA0789">
        <w:t>obního o</w:t>
      </w:r>
      <w:r w:rsidRPr="00435CC6">
        <w:t>hodnocení</w:t>
      </w:r>
      <w:r w:rsidR="00DA0789">
        <w:t>“</w:t>
      </w:r>
      <w:r w:rsidRPr="00435CC6">
        <w:t>.</w:t>
      </w:r>
      <w:r w:rsidR="00877C87">
        <w:t xml:space="preserve"> Lze přebarvit také i část OH, které má daný pracovník přiděleno z</w:t>
      </w:r>
      <w:r w:rsidR="008E52C1">
        <w:t> </w:t>
      </w:r>
      <w:r w:rsidR="00877C87">
        <w:t>provozu, ale maximálně jen do jeho výše.</w:t>
      </w:r>
    </w:p>
    <w:p w14:paraId="5ECBF494" w14:textId="1B2D99DC" w:rsidR="00F64678" w:rsidRPr="00435CC6" w:rsidRDefault="00F64678" w:rsidP="005268CE">
      <w:r>
        <w:t>Pozn.: vždy je lepší mzdy na spolufinancování mírně překročit (max. 1 000 Kč</w:t>
      </w:r>
      <w:r w:rsidR="00DA0789">
        <w:t>,</w:t>
      </w:r>
      <w:r>
        <w:t>) než nedočerpat.</w:t>
      </w:r>
    </w:p>
    <w:p w14:paraId="5E5D567B" w14:textId="77777777" w:rsidR="00397964" w:rsidRPr="00A14A24" w:rsidRDefault="00397964" w:rsidP="00A14A24">
      <w:pPr>
        <w:pStyle w:val="Odstavecseseznamem"/>
        <w:numPr>
          <w:ilvl w:val="0"/>
          <w:numId w:val="4"/>
        </w:numPr>
        <w:rPr>
          <w:b/>
        </w:rPr>
      </w:pPr>
      <w:r w:rsidRPr="00A14A24">
        <w:rPr>
          <w:b/>
        </w:rPr>
        <w:lastRenderedPageBreak/>
        <w:t>Dofinancování z provozu ústavu</w:t>
      </w:r>
    </w:p>
    <w:p w14:paraId="4492AD3D" w14:textId="0CA4DA5A" w:rsidR="00C35899" w:rsidRDefault="00C34D66" w:rsidP="005268CE">
      <w:r w:rsidRPr="00435CC6">
        <w:t xml:space="preserve">Alternativním </w:t>
      </w:r>
      <w:r w:rsidR="002A48B4">
        <w:t>způsobem je výměna provozních prostředků ústavu (zakázka 11000) za fakultní institucionální podporu (zakázka 21100)</w:t>
      </w:r>
      <w:r w:rsidR="008E52C1">
        <w:t xml:space="preserve"> na základě žádosti o přeúčtování finančních prostředků</w:t>
      </w:r>
      <w:r w:rsidR="002A48B4">
        <w:t>, kterou použijete na spolufinancování. V takovém případě můžete prostředky použít na jakékoliv náklady a budou se chovat stejně jako dotace</w:t>
      </w:r>
      <w:r w:rsidR="00DA0789">
        <w:t>,</w:t>
      </w:r>
      <w:r w:rsidR="002A48B4">
        <w:t xml:space="preserve"> tedy u mezd se nebude jednat jen o „přebarvení“, ale dostanete prostředk</w:t>
      </w:r>
      <w:r w:rsidR="00631BC3">
        <w:t>y navíc do osobního ohodnocení</w:t>
      </w:r>
      <w:bookmarkStart w:id="0" w:name="_GoBack"/>
      <w:bookmarkEnd w:id="0"/>
      <w:r w:rsidR="00CE36E4" w:rsidRPr="00435CC6">
        <w:t>).</w:t>
      </w:r>
    </w:p>
    <w:p w14:paraId="4A0CDA12" w14:textId="77777777" w:rsidR="0028405C" w:rsidRDefault="0028405C" w:rsidP="005268CE"/>
    <w:sectPr w:rsidR="00284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384D" w16cex:dateUtc="2022-05-11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EEF5C6" w16cid:durableId="262638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260EE" w14:textId="77777777" w:rsidR="004B4B4D" w:rsidRDefault="004B4B4D" w:rsidP="00947E7F">
      <w:pPr>
        <w:spacing w:after="0" w:line="240" w:lineRule="auto"/>
      </w:pPr>
      <w:r>
        <w:separator/>
      </w:r>
    </w:p>
  </w:endnote>
  <w:endnote w:type="continuationSeparator" w:id="0">
    <w:p w14:paraId="2593F1EB" w14:textId="77777777" w:rsidR="004B4B4D" w:rsidRDefault="004B4B4D" w:rsidP="0094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C705D" w14:textId="77777777" w:rsidR="00947E7F" w:rsidRDefault="00947E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998410"/>
      <w:docPartObj>
        <w:docPartGallery w:val="Page Numbers (Bottom of Page)"/>
        <w:docPartUnique/>
      </w:docPartObj>
    </w:sdtPr>
    <w:sdtEndPr/>
    <w:sdtContent>
      <w:p w14:paraId="256D7E79" w14:textId="76963F7B" w:rsidR="00947E7F" w:rsidRDefault="00947E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BC3">
          <w:rPr>
            <w:noProof/>
          </w:rPr>
          <w:t>2</w:t>
        </w:r>
        <w:r>
          <w:fldChar w:fldCharType="end"/>
        </w:r>
      </w:p>
    </w:sdtContent>
  </w:sdt>
  <w:p w14:paraId="74999D87" w14:textId="77777777" w:rsidR="00947E7F" w:rsidRDefault="00947E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A3F95" w14:textId="77777777" w:rsidR="00947E7F" w:rsidRDefault="00947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A39C" w14:textId="77777777" w:rsidR="004B4B4D" w:rsidRDefault="004B4B4D" w:rsidP="00947E7F">
      <w:pPr>
        <w:spacing w:after="0" w:line="240" w:lineRule="auto"/>
      </w:pPr>
      <w:r>
        <w:separator/>
      </w:r>
    </w:p>
  </w:footnote>
  <w:footnote w:type="continuationSeparator" w:id="0">
    <w:p w14:paraId="6E4B59CF" w14:textId="77777777" w:rsidR="004B4B4D" w:rsidRDefault="004B4B4D" w:rsidP="0094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0C3B" w14:textId="77777777" w:rsidR="00947E7F" w:rsidRDefault="00947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A5AFD" w14:textId="77777777" w:rsidR="00947E7F" w:rsidRDefault="00947E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51F1C" w14:textId="77777777" w:rsidR="00947E7F" w:rsidRDefault="00947E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1FF1"/>
    <w:multiLevelType w:val="multilevel"/>
    <w:tmpl w:val="2B1A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251ED"/>
    <w:multiLevelType w:val="hybridMultilevel"/>
    <w:tmpl w:val="77FED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1DDC"/>
    <w:multiLevelType w:val="hybridMultilevel"/>
    <w:tmpl w:val="E07459D0"/>
    <w:lvl w:ilvl="0" w:tplc="4BBE1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2710D"/>
    <w:multiLevelType w:val="hybridMultilevel"/>
    <w:tmpl w:val="8B78E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88"/>
    <w:rsid w:val="00027B4B"/>
    <w:rsid w:val="000F29F0"/>
    <w:rsid w:val="00123B0E"/>
    <w:rsid w:val="001A546D"/>
    <w:rsid w:val="00222EC3"/>
    <w:rsid w:val="00275755"/>
    <w:rsid w:val="0028405C"/>
    <w:rsid w:val="002927BF"/>
    <w:rsid w:val="002A48B4"/>
    <w:rsid w:val="002E4080"/>
    <w:rsid w:val="00303894"/>
    <w:rsid w:val="00317C93"/>
    <w:rsid w:val="00397964"/>
    <w:rsid w:val="003D6978"/>
    <w:rsid w:val="00435CC6"/>
    <w:rsid w:val="00470CC7"/>
    <w:rsid w:val="00496322"/>
    <w:rsid w:val="004B4B4D"/>
    <w:rsid w:val="005268CE"/>
    <w:rsid w:val="005E1DE8"/>
    <w:rsid w:val="00625588"/>
    <w:rsid w:val="00631BC3"/>
    <w:rsid w:val="007612C2"/>
    <w:rsid w:val="0077026B"/>
    <w:rsid w:val="00811FD2"/>
    <w:rsid w:val="00822649"/>
    <w:rsid w:val="00823A9A"/>
    <w:rsid w:val="00877C87"/>
    <w:rsid w:val="008A6074"/>
    <w:rsid w:val="008E52C1"/>
    <w:rsid w:val="00947E7F"/>
    <w:rsid w:val="009B39B8"/>
    <w:rsid w:val="009B5A4E"/>
    <w:rsid w:val="00A14A24"/>
    <w:rsid w:val="00A207AF"/>
    <w:rsid w:val="00A455C8"/>
    <w:rsid w:val="00A55397"/>
    <w:rsid w:val="00A91515"/>
    <w:rsid w:val="00B15879"/>
    <w:rsid w:val="00B349A3"/>
    <w:rsid w:val="00BD1491"/>
    <w:rsid w:val="00C34D66"/>
    <w:rsid w:val="00C35899"/>
    <w:rsid w:val="00C47AFE"/>
    <w:rsid w:val="00CE36E4"/>
    <w:rsid w:val="00D513C5"/>
    <w:rsid w:val="00DA0789"/>
    <w:rsid w:val="00DA1A6E"/>
    <w:rsid w:val="00DD1F51"/>
    <w:rsid w:val="00E012EE"/>
    <w:rsid w:val="00E752D2"/>
    <w:rsid w:val="00EA1AB8"/>
    <w:rsid w:val="00EF2F8C"/>
    <w:rsid w:val="00F06970"/>
    <w:rsid w:val="00F638BD"/>
    <w:rsid w:val="00F64678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7E9F"/>
  <w15:chartTrackingRefBased/>
  <w15:docId w15:val="{F74B03CA-79CA-431E-B98A-B9DD96B9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589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3979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7964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94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E7F"/>
  </w:style>
  <w:style w:type="paragraph" w:styleId="Zpat">
    <w:name w:val="footer"/>
    <w:basedOn w:val="Normln"/>
    <w:link w:val="ZpatChar"/>
    <w:uiPriority w:val="99"/>
    <w:unhideWhenUsed/>
    <w:rsid w:val="0094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E7F"/>
  </w:style>
  <w:style w:type="character" w:styleId="Odkaznakoment">
    <w:name w:val="annotation reference"/>
    <w:basedOn w:val="Standardnpsmoodstavce"/>
    <w:uiPriority w:val="99"/>
    <w:semiHidden/>
    <w:unhideWhenUsed/>
    <w:rsid w:val="00470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C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C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CC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77C8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7C8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7C8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vutbr.sharepoint.com/sites/EOFAST/Sdilene%20dokumenty/Forms/AllItems.aspx?id=%2Fsites%2FEOFAST%2FSdilene%20dokumenty%2FProjekty%2FRozhodovac%C3%AD%20proces%20pro%20DPH%20na%20projektech%5F1%5F60%2Epdf&amp;parent=%2Fsites%2FEOFAST%2FSdilene%20dokumenty%2FProjekty&amp;p=true&amp;ga=1" TargetMode="Externa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 Novák</dc:creator>
  <cp:keywords/>
  <dc:description/>
  <cp:lastModifiedBy>Vavrečková Eva (233793)</cp:lastModifiedBy>
  <cp:revision>8</cp:revision>
  <dcterms:created xsi:type="dcterms:W3CDTF">2022-05-11T13:06:00Z</dcterms:created>
  <dcterms:modified xsi:type="dcterms:W3CDTF">2022-05-12T10:56:00Z</dcterms:modified>
</cp:coreProperties>
</file>