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A5" w:rsidRPr="00BD41A5" w:rsidRDefault="00BD41A5" w:rsidP="00BD41A5">
      <w:pPr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BD41A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Podmínky financování mezinárodních výzev z Národního plánu obnovy</w:t>
      </w:r>
    </w:p>
    <w:p w:rsidR="00BD41A5" w:rsidRPr="00BD41A5" w:rsidRDefault="00BD41A5" w:rsidP="00BD41A5">
      <w:pPr>
        <w:shd w:val="clear" w:color="auto" w:fill="FFFFFF"/>
        <w:spacing w:after="0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Vzhledem k financování projektů v letošních mezinárodních výzvách z prostředků Národního plánu obnovy (NPO), informuje Technologická agentura ČR (TA ČR) uchazeče o podmínkách, které musí projekty financované z NPO splnit.</w:t>
      </w:r>
    </w:p>
    <w:p w:rsidR="00BD41A5" w:rsidRPr="00BD41A5" w:rsidRDefault="00BD41A5" w:rsidP="00BD41A5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noProof/>
          <w:color w:val="292929"/>
          <w:sz w:val="24"/>
          <w:szCs w:val="24"/>
          <w:lang w:eastAsia="cs-CZ"/>
        </w:rPr>
        <w:drawing>
          <wp:inline distT="0" distB="0" distL="0" distR="0">
            <wp:extent cx="3019425" cy="902289"/>
            <wp:effectExtent l="0" t="0" r="0" b="0"/>
            <wp:docPr id="1" name="Obrázek 1" descr="https://www.tacr.cz/wp-content/uploads/2022/04/CS-Financovano-Evropskou-unii_POS_POS-4-1024x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acr.cz/wp-content/uploads/2022/04/CS-Financovano-Evropskou-unii_POS_POS-4-1024x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39" cy="95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Národní plán obnovy představuje plán, jehož prostřednictvím má Česká republika možnost čerpat prostředky z Nástroje pro oživení a odolnost</w:t>
      </w: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br/>
        <w:t xml:space="preserve">(RRF,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Recovery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 and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Resilience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Facility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). NPO je souhrn reforem a investic a má pomoci zmírnit hospodářský a sociální dopad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koronavirové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 pandemie, zvýšit udržitelnost a odolnost ekonomiky a společnosti a připravit je na výzvy a příležitosti zelené a digitální transformace.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Více informací o NPO naleznete na webové stránce </w:t>
      </w:r>
      <w:hyperlink r:id="rId9" w:history="1">
        <w:r w:rsidRPr="00BD41A5">
          <w:rPr>
            <w:rFonts w:ascii="Open Sans" w:eastAsia="Times New Roman" w:hAnsi="Open Sans" w:cs="Times New Roman"/>
            <w:color w:val="F03741"/>
            <w:sz w:val="24"/>
            <w:szCs w:val="24"/>
            <w:u w:val="single"/>
            <w:lang w:eastAsia="cs-CZ"/>
          </w:rPr>
          <w:t>www.planobnovy.cz</w:t>
        </w:r>
      </w:hyperlink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.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TA ČR je subjektem implementace částí komponent 1.3, 4.5 a 5.2. V rámci implementace investice “Podpora výzkumu a vývoje v synergických efektech s rámcovým programem pro výzkum a inovace” v rámci komponenty 5.2 s názvem “Podpora výzkumu a vývoje v podnicích a zavádění inovací do podnikové praxe” bude TA ČR financovat úspěšné české uchazeče v projektech mezinárodních výzev ERA-NET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Cofundů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, Evropských partnerství a národní výzvy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Seal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of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 Excellence. Uchazeči, kteří podají projekty do těchto výzev, musí kromě podmínek programu financování splňovat specifické podmínky NPO, mezi kterými je třeba upozornit především na následující:</w:t>
      </w:r>
    </w:p>
    <w:p w:rsidR="00BD41A5" w:rsidRPr="00BD41A5" w:rsidRDefault="00BD41A5" w:rsidP="00BD41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Dodržování zásady „významně nepoškozovat“</w:t>
      </w: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 </w:t>
      </w:r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 xml:space="preserve"> (Do no </w:t>
      </w:r>
      <w:proofErr w:type="spellStart"/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significant</w:t>
      </w:r>
      <w:proofErr w:type="spellEnd"/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 xml:space="preserve"> </w:t>
      </w:r>
      <w:proofErr w:type="spellStart"/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harm</w:t>
      </w:r>
      <w:proofErr w:type="spellEnd"/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 xml:space="preserve"> </w:t>
      </w:r>
      <w:proofErr w:type="spellStart"/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principle</w:t>
      </w:r>
      <w:proofErr w:type="spellEnd"/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)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lastRenderedPageBreak/>
        <w:t>Hlavní uchazeč musí popsat, jakým způsobem dochází k dodržování zásady „významně nepoškozovat“ ve smyslu článku 17 Nařízení Evropského parlamentu a Rady (EU) 2020/852 ze dne 18. června 2020 o zřízení rámce pro usnadnění udržitelných investic a o změně nařízení (EU) 2019/2088,</w:t>
      </w: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br/>
        <w:t>tzn. nedochází k porušení ani jednoho z </w:t>
      </w:r>
      <w:hyperlink r:id="rId10" w:history="1">
        <w:r w:rsidRPr="00BD41A5">
          <w:rPr>
            <w:rFonts w:ascii="Open Sans" w:eastAsia="Times New Roman" w:hAnsi="Open Sans" w:cs="Times New Roman"/>
            <w:color w:val="F03741"/>
            <w:sz w:val="24"/>
            <w:szCs w:val="24"/>
            <w:u w:val="single"/>
            <w:lang w:eastAsia="cs-CZ"/>
          </w:rPr>
          <w:t>šesti environmentálních cílů</w:t>
        </w:r>
      </w:hyperlink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 a výsledky projektu budou na úrovni uplatňování technologicky neutrální. Hlavní uchazeč doloží toto vyjádření v rámci povinné přílohy, kterou zašle ze své datové schránky do datové schránky TA ČR.</w:t>
      </w:r>
    </w:p>
    <w:p w:rsidR="00BD41A5" w:rsidRPr="00BD41A5" w:rsidRDefault="00BD41A5" w:rsidP="00BD41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DPH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Do způsobilých nákladů nelze zahrnout daň z přidané hodnoty dle zákona č. 235/2004 Sb., o dani z přidané hodnoty. Rozpočet v návrhu projektu musí být plánován bez daně. Omezení se týká jak těch, co jsou plátci daně z přidané hodnoty, tak těch, co nejsou plátci daně z přidané hodnoty.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Při plánování projektu a sestavování (institucionálního) rozpočtu projektu musí uchazeči počítat kvůli nezpůsobilosti DPH s vyšší mírou finanční spoluúčasti.</w:t>
      </w:r>
    </w:p>
    <w:p w:rsidR="00BD41A5" w:rsidRPr="00BD41A5" w:rsidRDefault="00BD41A5" w:rsidP="00BD41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Střet zájmů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Každý uchazeč musí identifikovat „zainteresované osoby na straně uchazeče“ a prohlásit, že podáním ani následnou realizací projektu nevznikne</w:t>
      </w: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br/>
        <w:t>u uchazeče střet zájmů ve smyslu článku 61 Nařízení Evropského parlamentu a Rady (EU) 2018/1046 ze dne 18. července 2018.</w:t>
      </w:r>
    </w:p>
    <w:p w:rsidR="00BD41A5" w:rsidRPr="00BD41A5" w:rsidRDefault="00BD41A5" w:rsidP="00BD41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Povinná publicita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Příjemce finanční podpory bude během realizace projektu zodpovídat za informování veřejnosti o tom, že projekt byl spolufinancován TA ČR v rámci Národního plánu obnovy a bude povinen dodržovat podmínky vizuální identity uveřejněnými na webových stránkách poskytovatele, a též v souladu</w:t>
      </w: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br/>
      </w: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lastRenderedPageBreak/>
        <w:t>s podmínkami vizuální identity stanovenými v Metodickém pokynu pro publicitu a komunikaci pro Národní plán obnovy na období 2021–2026.</w:t>
      </w:r>
    </w:p>
    <w:p w:rsidR="00BD41A5" w:rsidRPr="00BD41A5" w:rsidRDefault="00BD41A5" w:rsidP="00BD41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b/>
          <w:bCs/>
          <w:color w:val="292929"/>
          <w:sz w:val="24"/>
          <w:szCs w:val="24"/>
          <w:lang w:eastAsia="cs-CZ"/>
        </w:rPr>
        <w:t>Digitalizace</w:t>
      </w:r>
    </w:p>
    <w:p w:rsidR="00BD41A5" w:rsidRPr="00BD41A5" w:rsidRDefault="00BD41A5" w:rsidP="00BD41A5">
      <w:pPr>
        <w:shd w:val="clear" w:color="auto" w:fill="FFFFFF"/>
        <w:spacing w:after="100" w:afterAutospacing="1" w:line="480" w:lineRule="atLeast"/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</w:pPr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Hlavní uchazeč prostřednictvím povinné přílohy TA CR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Application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 </w:t>
      </w:r>
      <w:proofErr w:type="spellStart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>Form</w:t>
      </w:r>
      <w:proofErr w:type="spellEnd"/>
      <w:r w:rsidRPr="00BD41A5">
        <w:rPr>
          <w:rFonts w:ascii="Open Sans" w:eastAsia="Times New Roman" w:hAnsi="Open Sans" w:cs="Times New Roman"/>
          <w:color w:val="292929"/>
          <w:sz w:val="24"/>
          <w:szCs w:val="24"/>
          <w:lang w:eastAsia="cs-CZ"/>
        </w:rPr>
        <w:t xml:space="preserve"> přiřadí projekt k alespoň jedné digitální oblasti, která nejlépe odpovídá aktivitám a dílčím činnostem v projektu. Oblasti budou specifikovány v rámci konkrétní výzvy. </w:t>
      </w:r>
    </w:p>
    <w:p w:rsidR="004B4436" w:rsidRDefault="00896542"/>
    <w:sectPr w:rsidR="004B4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300E"/>
    <w:multiLevelType w:val="multilevel"/>
    <w:tmpl w:val="966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1B2563"/>
    <w:multiLevelType w:val="multilevel"/>
    <w:tmpl w:val="1F2E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531AC"/>
    <w:multiLevelType w:val="multilevel"/>
    <w:tmpl w:val="942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115F0D"/>
    <w:multiLevelType w:val="multilevel"/>
    <w:tmpl w:val="A266A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6B10D3"/>
    <w:multiLevelType w:val="multilevel"/>
    <w:tmpl w:val="5860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A5"/>
    <w:rsid w:val="001709AA"/>
    <w:rsid w:val="0028708A"/>
    <w:rsid w:val="00896542"/>
    <w:rsid w:val="00B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F9197-35F1-4616-9249-6F6211AB4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D4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D41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D4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D41A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D4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8528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4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-lex.europa.eu/legal-content/CS/TXT/PDF/?uri=CELEX:52021XC0218(01)&amp;from=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planobnovy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ář" ma:contentTypeID="0x010101009B2A497C0EEF2C4DB00CC810A7EF42E8" ma:contentTypeVersion="4" ma:contentTypeDescription="Vyplňte tento formulář." ma:contentTypeScope="" ma:versionID="3b9e231e11492482dd86e061bc19e033">
  <xsd:schema xmlns:xsd="http://www.w3.org/2001/XMLSchema" xmlns:xs="http://www.w3.org/2001/XMLSchema" xmlns:p="http://schemas.microsoft.com/office/2006/metadata/properties" xmlns:ns1="http://schemas.microsoft.com/sharepoint/v3" xmlns:ns2="40b4cdd2-644f-4e4f-bf4d-438ddb42b225" targetNamespace="http://schemas.microsoft.com/office/2006/metadata/properties" ma:root="true" ma:fieldsID="d2af356c883b8b19ac72308e4bc43f4d" ns1:_="" ns2:_="">
    <xsd:import namespace="http://schemas.microsoft.com/sharepoint/v3"/>
    <xsd:import namespace="40b4cdd2-644f-4e4f-bf4d-438ddb42b225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Kombinované zobrazení" ma:hidden="true" ma:internalName="ShowCombineView">
      <xsd:simpleType>
        <xsd:restriction base="dms:Text"/>
      </xsd:simpleType>
    </xsd:element>
    <xsd:element name="ShowRepairView" ma:index="10" nillable="true" ma:displayName="Zobrazení oprav" ma:hidden="true" ma:internalName="ShowRepairView">
      <xsd:simpleType>
        <xsd:restriction base="dms:Text"/>
      </xsd:simpleType>
    </xsd:element>
    <xsd:element name="TemplateUrl" ma:index="11" nillable="true" ma:displayName="Připojení šablony" ma:hidden="true" ma:internalName="TemplateUrl">
      <xsd:simpleType>
        <xsd:restriction base="dms:Text"/>
      </xsd:simpleType>
    </xsd:element>
    <xsd:element name="xd_ProgID" ma:index="12" nillable="true" ma:displayName="Odkaz na soubor HTML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4cdd2-644f-4e4f-bf4d-438ddb42b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00A64A-1AD5-4EC1-829C-4F250B6213D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40b4cdd2-644f-4e4f-bf4d-438ddb42b225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341C46-B27B-4D62-8E51-810FCB8F5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B6ECF-F13E-427D-AD8A-5AD7DB1E7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b4cdd2-644f-4e4f-bf4d-438ddb42b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Legátová Martina (38277)</dc:creator>
  <cp:keywords/>
  <dc:description/>
  <cp:lastModifiedBy>Vavrečková Eva (233793)</cp:lastModifiedBy>
  <cp:revision>2</cp:revision>
  <dcterms:created xsi:type="dcterms:W3CDTF">2022-05-20T10:29:00Z</dcterms:created>
  <dcterms:modified xsi:type="dcterms:W3CDTF">2022-05-20T10:29:00Z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0x010101009B2A497C0EEF2C4DB00CC810A7EF42E8</vt:lpwstr>
  </property>
</Properties>
</file>