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44" w:rsidRPr="005F4E49" w:rsidRDefault="008D7D7B" w:rsidP="005F4E49">
      <w:pPr>
        <w:ind w:left="360"/>
        <w:rPr>
          <w:rStyle w:val="subheading-category1"/>
          <w:b/>
          <w:caps w:val="0"/>
          <w:color w:val="2F5496" w:themeColor="accent5" w:themeShade="BF"/>
          <w:sz w:val="32"/>
          <w:szCs w:val="32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4</w:t>
      </w:r>
      <w:r w:rsid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 xml:space="preserve">. </w:t>
      </w:r>
      <w:r w:rsidR="0057770F" w:rsidRPr="005F4E49">
        <w:rPr>
          <w:rStyle w:val="subheading-category1"/>
          <w:b/>
          <w:caps w:val="0"/>
          <w:color w:val="2F5496" w:themeColor="accent5" w:themeShade="BF"/>
          <w:sz w:val="32"/>
          <w:szCs w:val="32"/>
        </w:rPr>
        <w:t>veřejná soutěž programu Doprava 2020+</w:t>
      </w:r>
    </w:p>
    <w:p w:rsidR="0057770F" w:rsidRDefault="0057770F" w:rsidP="0057770F"/>
    <w:p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57770F" w:rsidRDefault="0057770F" w:rsidP="007C2781">
      <w:pPr>
        <w:spacing w:line="240" w:lineRule="auto"/>
        <w:rPr>
          <w:b/>
        </w:rPr>
      </w:pPr>
      <w:r>
        <w:t xml:space="preserve">Soutěžní lhůta začíná: </w:t>
      </w:r>
      <w:r w:rsidR="008D7D7B">
        <w:rPr>
          <w:b/>
        </w:rPr>
        <w:t>7</w:t>
      </w:r>
      <w:r w:rsidR="005F4E49" w:rsidRPr="007628A7">
        <w:rPr>
          <w:b/>
        </w:rPr>
        <w:t>.4.202</w:t>
      </w:r>
      <w:r w:rsidR="008D7D7B">
        <w:rPr>
          <w:b/>
        </w:rPr>
        <w:t>2</w:t>
      </w:r>
    </w:p>
    <w:p w:rsidR="0057770F" w:rsidRDefault="0057770F" w:rsidP="007C2781">
      <w:pPr>
        <w:spacing w:line="240" w:lineRule="auto"/>
      </w:pPr>
      <w:r>
        <w:t xml:space="preserve">Soutěžní lhůta končí: </w:t>
      </w:r>
      <w:r w:rsidR="007628A7">
        <w:rPr>
          <w:b/>
        </w:rPr>
        <w:t>1</w:t>
      </w:r>
      <w:r w:rsidR="005F4E49">
        <w:rPr>
          <w:b/>
        </w:rPr>
        <w:t>. 6. 202</w:t>
      </w:r>
      <w:r w:rsidR="008D7D7B">
        <w:rPr>
          <w:b/>
        </w:rPr>
        <w:t>2</w:t>
      </w:r>
      <w:r>
        <w:t xml:space="preserve"> do 1</w:t>
      </w:r>
      <w:r w:rsidR="00CC39C8">
        <w:t>6</w:t>
      </w:r>
      <w:r>
        <w:t>.</w:t>
      </w:r>
      <w:r w:rsidR="008D7D7B">
        <w:t>30</w:t>
      </w:r>
      <w:r>
        <w:t xml:space="preserve"> pro podání projektu; </w:t>
      </w:r>
    </w:p>
    <w:p w:rsidR="0057770F" w:rsidRPr="007628A7" w:rsidRDefault="0057770F" w:rsidP="007C2781">
      <w:pPr>
        <w:spacing w:line="240" w:lineRule="auto"/>
        <w:ind w:left="2937"/>
        <w:rPr>
          <w:b/>
        </w:rPr>
      </w:pPr>
      <w:r>
        <w:t>do 23.59 pro zaslání Potvrzení podání elektronického návrhu</w:t>
      </w:r>
      <w:r w:rsidR="00760FE8">
        <w:t>, v datovém poli Věc musí být uvedeno: „Program DOPRAVA 2020+ – Potvrzení podání“</w:t>
      </w:r>
      <w:r w:rsidR="007628A7">
        <w:t xml:space="preserve">, </w:t>
      </w:r>
      <w:r w:rsidR="007628A7" w:rsidRPr="007628A7">
        <w:t xml:space="preserve">ID datové schránky TA ČR: </w:t>
      </w:r>
      <w:r w:rsidR="007628A7" w:rsidRPr="007628A7">
        <w:rPr>
          <w:b/>
        </w:rPr>
        <w:t>afth9xp</w:t>
      </w:r>
    </w:p>
    <w:p w:rsidR="00894BEB" w:rsidRDefault="00894BEB" w:rsidP="007C2781">
      <w:pPr>
        <w:spacing w:line="240" w:lineRule="auto"/>
        <w:rPr>
          <w:b/>
        </w:rPr>
      </w:pPr>
      <w:r w:rsidRPr="00894BEB">
        <w:t>Vyhlášení výsledků soutěže:</w:t>
      </w:r>
      <w:r>
        <w:rPr>
          <w:b/>
        </w:rPr>
        <w:t xml:space="preserve"> do </w:t>
      </w:r>
      <w:r w:rsidR="006A5CBC">
        <w:rPr>
          <w:b/>
        </w:rPr>
        <w:t>30</w:t>
      </w:r>
      <w:r w:rsidR="00AF3498">
        <w:rPr>
          <w:b/>
        </w:rPr>
        <w:t>. 11. 202</w:t>
      </w:r>
      <w:r w:rsidR="008D7D7B">
        <w:rPr>
          <w:b/>
        </w:rPr>
        <w:t>2</w:t>
      </w:r>
    </w:p>
    <w:p w:rsidR="00894BEB" w:rsidRDefault="00894BEB" w:rsidP="007C2781">
      <w:pPr>
        <w:spacing w:line="240" w:lineRule="auto"/>
        <w:rPr>
          <w:b/>
        </w:rPr>
      </w:pPr>
      <w:r w:rsidRPr="00894BEB">
        <w:t>Zahájení řešení projektu:</w:t>
      </w:r>
      <w:r>
        <w:rPr>
          <w:b/>
        </w:rPr>
        <w:t xml:space="preserve"> </w:t>
      </w:r>
      <w:r w:rsidR="00AF3498">
        <w:rPr>
          <w:b/>
        </w:rPr>
        <w:t>1. 1. 202</w:t>
      </w:r>
      <w:r w:rsidR="008D7D7B">
        <w:rPr>
          <w:b/>
        </w:rPr>
        <w:t>3</w:t>
      </w:r>
      <w:r w:rsidR="00AF3498">
        <w:rPr>
          <w:b/>
        </w:rPr>
        <w:t xml:space="preserve"> – 1. </w:t>
      </w:r>
      <w:r w:rsidR="008D7D7B">
        <w:rPr>
          <w:b/>
        </w:rPr>
        <w:t>2</w:t>
      </w:r>
      <w:r w:rsidR="00AF3498">
        <w:rPr>
          <w:b/>
        </w:rPr>
        <w:t>. 202</w:t>
      </w:r>
      <w:r w:rsidR="008D7D7B">
        <w:rPr>
          <w:b/>
        </w:rPr>
        <w:t>3</w:t>
      </w:r>
    </w:p>
    <w:p w:rsidR="00894BEB" w:rsidRDefault="00894BEB" w:rsidP="007C2781">
      <w:pPr>
        <w:spacing w:line="240" w:lineRule="auto"/>
        <w:rPr>
          <w:b/>
        </w:rPr>
      </w:pPr>
      <w:r w:rsidRPr="00894BEB">
        <w:t>Délka řešení projektu:</w:t>
      </w:r>
      <w:r>
        <w:rPr>
          <w:b/>
        </w:rPr>
        <w:t xml:space="preserve"> 12 – 48 měsíců</w:t>
      </w:r>
    </w:p>
    <w:p w:rsidR="00CA65B4" w:rsidRDefault="00CA65B4" w:rsidP="007C2781">
      <w:pPr>
        <w:spacing w:line="240" w:lineRule="auto"/>
        <w:rPr>
          <w:b/>
        </w:rPr>
      </w:pPr>
      <w:r w:rsidRPr="00CA65B4">
        <w:t>Nejzazší termín ukončení realizace:</w:t>
      </w:r>
      <w:r>
        <w:rPr>
          <w:b/>
        </w:rPr>
        <w:t xml:space="preserve"> </w:t>
      </w:r>
      <w:r w:rsidR="00FF047B">
        <w:rPr>
          <w:b/>
        </w:rPr>
        <w:t>prosinec 2026</w:t>
      </w:r>
    </w:p>
    <w:p w:rsidR="0057770F" w:rsidRDefault="0057770F" w:rsidP="0057770F">
      <w:pPr>
        <w:rPr>
          <w:b/>
        </w:rPr>
      </w:pPr>
    </w:p>
    <w:p w:rsidR="005E71F4" w:rsidRPr="008F2375" w:rsidRDefault="005E71F4" w:rsidP="005E71F4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Kontaktní osoby:</w:t>
      </w:r>
    </w:p>
    <w:p w:rsidR="005E71F4" w:rsidRDefault="005E71F4" w:rsidP="005E71F4">
      <w:pPr>
        <w:rPr>
          <w:b/>
        </w:rPr>
      </w:pPr>
      <w:r>
        <w:rPr>
          <w:b/>
        </w:rPr>
        <w:t>Soutěž TAČR na VUT Brno – Ing. Martina Legátová (</w:t>
      </w:r>
      <w:hyperlink r:id="rId5" w:history="1">
        <w:r w:rsidR="000531D0" w:rsidRPr="002F7795">
          <w:rPr>
            <w:rStyle w:val="Hypertextovodkaz"/>
            <w:b/>
          </w:rPr>
          <w:t>legatova@vutbr.cz</w:t>
        </w:r>
      </w:hyperlink>
      <w:r>
        <w:rPr>
          <w:b/>
        </w:rPr>
        <w:t>, kl. 5237)</w:t>
      </w:r>
    </w:p>
    <w:p w:rsidR="005E71F4" w:rsidRDefault="005E71F4" w:rsidP="005E71F4">
      <w:pPr>
        <w:rPr>
          <w:b/>
        </w:rPr>
      </w:pPr>
      <w:r>
        <w:rPr>
          <w:b/>
        </w:rPr>
        <w:t xml:space="preserve">Duševní vlastnictví, konzultace smlouvy mezi uchazeči,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intent</w:t>
      </w:r>
      <w:proofErr w:type="spellEnd"/>
      <w:r>
        <w:rPr>
          <w:b/>
        </w:rPr>
        <w:t xml:space="preserve"> – OTT – </w:t>
      </w:r>
      <w:r w:rsidR="008D7D7B">
        <w:rPr>
          <w:b/>
        </w:rPr>
        <w:t>Mgr. Michaela Daňková</w:t>
      </w:r>
      <w:r>
        <w:rPr>
          <w:b/>
        </w:rPr>
        <w:t xml:space="preserve"> (</w:t>
      </w:r>
      <w:hyperlink r:id="rId6" w:history="1">
        <w:r w:rsidR="008D7D7B" w:rsidRPr="00816DA0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8D7D7B">
        <w:rPr>
          <w:b/>
        </w:rPr>
        <w:t>8</w:t>
      </w:r>
      <w:r>
        <w:rPr>
          <w:b/>
        </w:rPr>
        <w:t>)</w:t>
      </w:r>
    </w:p>
    <w:p w:rsidR="005E71F4" w:rsidRDefault="005E71F4" w:rsidP="005E71F4">
      <w:pPr>
        <w:rPr>
          <w:b/>
        </w:rPr>
      </w:pPr>
      <w:r>
        <w:rPr>
          <w:b/>
        </w:rPr>
        <w:t>Otázka DPH v projektech TAČR – Ing. Romana Sasková (</w:t>
      </w:r>
      <w:hyperlink r:id="rId7" w:history="1">
        <w:r w:rsidR="000531D0" w:rsidRPr="002F7795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E71F4" w:rsidRDefault="005E71F4" w:rsidP="005E71F4">
      <w:pPr>
        <w:rPr>
          <w:b/>
        </w:rPr>
      </w:pPr>
      <w:r>
        <w:rPr>
          <w:b/>
        </w:rPr>
        <w:t>Zadání do APOLLA pod programem financování: CK0</w:t>
      </w:r>
      <w:r w:rsidR="008D7D7B">
        <w:rPr>
          <w:b/>
        </w:rPr>
        <w:t>4</w:t>
      </w:r>
      <w:r>
        <w:rPr>
          <w:b/>
        </w:rPr>
        <w:t>0</w:t>
      </w:r>
    </w:p>
    <w:p w:rsidR="005E71F4" w:rsidRDefault="005E71F4" w:rsidP="0057770F">
      <w:pPr>
        <w:rPr>
          <w:b/>
        </w:rPr>
      </w:pPr>
    </w:p>
    <w:p w:rsidR="00C10D9F" w:rsidRPr="005E71F4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Odkaz na soutěž:</w:t>
      </w:r>
    </w:p>
    <w:p w:rsidR="00AF3498" w:rsidRDefault="00F86FE1" w:rsidP="0057770F">
      <w:pPr>
        <w:rPr>
          <w:b/>
        </w:rPr>
      </w:pPr>
      <w:hyperlink r:id="rId8" w:history="1">
        <w:r w:rsidR="008D7D7B" w:rsidRPr="00816DA0">
          <w:rPr>
            <w:rStyle w:val="Hypertextovodkaz"/>
          </w:rPr>
          <w:t>https://www.tacr.cz/program-doprava-2020-vyhlaseni-4-verejne-souteze/</w:t>
        </w:r>
      </w:hyperlink>
      <w:r w:rsidR="008D7D7B">
        <w:t xml:space="preserve"> </w:t>
      </w:r>
      <w:r w:rsidR="00686E27">
        <w:t xml:space="preserve"> </w:t>
      </w:r>
    </w:p>
    <w:p w:rsidR="00760FE8" w:rsidRDefault="00760FE8" w:rsidP="0057770F">
      <w:pPr>
        <w:rPr>
          <w:b/>
          <w:color w:val="1F4E79" w:themeColor="accent1" w:themeShade="80"/>
          <w:sz w:val="28"/>
          <w:szCs w:val="28"/>
        </w:rPr>
      </w:pPr>
    </w:p>
    <w:p w:rsidR="0057770F" w:rsidRPr="005E71F4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E71F4">
        <w:rPr>
          <w:b/>
          <w:color w:val="1F4E79" w:themeColor="accent1" w:themeShade="80"/>
          <w:sz w:val="28"/>
          <w:szCs w:val="28"/>
        </w:rPr>
        <w:t>Uchazeči:</w:t>
      </w:r>
    </w:p>
    <w:p w:rsidR="00686E27" w:rsidRDefault="00686E27" w:rsidP="00686E27">
      <w:r>
        <w:t>Subjekty, které mohou přinést nové a aplikovatelné poznatky do dopravního sektoru, přičemž tyto subjekty se mohou hlásit jako:</w:t>
      </w:r>
    </w:p>
    <w:p w:rsidR="00686E27" w:rsidRDefault="00686E27" w:rsidP="00686E27">
      <w:pPr>
        <w:pStyle w:val="Odstavecseseznamem"/>
        <w:numPr>
          <w:ilvl w:val="0"/>
          <w:numId w:val="16"/>
        </w:numPr>
      </w:pPr>
      <w:r>
        <w:t>výzkumná organizace;</w:t>
      </w:r>
    </w:p>
    <w:p w:rsidR="00686E27" w:rsidRDefault="00686E27" w:rsidP="00686E27">
      <w:pPr>
        <w:pStyle w:val="Odstavecseseznamem"/>
        <w:numPr>
          <w:ilvl w:val="0"/>
          <w:numId w:val="16"/>
        </w:numPr>
      </w:pPr>
      <w:r>
        <w:t>podnik;</w:t>
      </w:r>
    </w:p>
    <w:p w:rsidR="00686E27" w:rsidRDefault="00686E27" w:rsidP="00686E27">
      <w:pPr>
        <w:pStyle w:val="Odstavecseseznamem"/>
        <w:numPr>
          <w:ilvl w:val="0"/>
          <w:numId w:val="16"/>
        </w:numPr>
      </w:pPr>
      <w:r>
        <w:t>organizační složka státu;</w:t>
      </w:r>
    </w:p>
    <w:p w:rsidR="00686E27" w:rsidRDefault="00686E27" w:rsidP="00686E27">
      <w:pPr>
        <w:pStyle w:val="Odstavecseseznamem"/>
        <w:numPr>
          <w:ilvl w:val="0"/>
          <w:numId w:val="16"/>
        </w:numPr>
      </w:pPr>
      <w:r>
        <w:t>územní samosprávný celek.</w:t>
      </w:r>
    </w:p>
    <w:p w:rsidR="00DD097B" w:rsidRDefault="00686E27" w:rsidP="00686E27">
      <w:r>
        <w:t>Uchazeči (bez ohledu na svou právní formu) si mohou v ISTA zvolit typ uchazeče podnik (např. neziskové organizace, spolky, příspěvkové organizace).</w:t>
      </w:r>
    </w:p>
    <w:p w:rsidR="00686E27" w:rsidRDefault="00686E27" w:rsidP="00686E27"/>
    <w:p w:rsidR="00AF3498" w:rsidRPr="00DD097B" w:rsidRDefault="00AF3498" w:rsidP="00AF3498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lastRenderedPageBreak/>
        <w:t>Zaměření soutěže:</w:t>
      </w:r>
    </w:p>
    <w:p w:rsidR="008D7D7B" w:rsidRDefault="008D7D7B" w:rsidP="00CA65B4">
      <w:r>
        <w:t xml:space="preserve">Veřejná soutěž svým zaměřením pokrývá výzkum celého dopravního sektoru a všech druhů dopravy, tj. pozemní, vodní a letecké, včetně všech typů dopravních prostředků a dopravní infrastruktury. </w:t>
      </w:r>
    </w:p>
    <w:p w:rsidR="008D7D7B" w:rsidRDefault="008D7D7B" w:rsidP="00CA65B4">
      <w:r>
        <w:t xml:space="preserve">Každý návrh projektu musí naplnit jeden ze specifických cílů programu: </w:t>
      </w:r>
    </w:p>
    <w:p w:rsidR="008D7D7B" w:rsidRDefault="008D7D7B" w:rsidP="008D7D7B">
      <w:pPr>
        <w:pStyle w:val="Odstavecseseznamem"/>
        <w:numPr>
          <w:ilvl w:val="0"/>
          <w:numId w:val="19"/>
        </w:numPr>
      </w:pPr>
      <w:r>
        <w:t xml:space="preserve">Udržitelná doprava; </w:t>
      </w:r>
    </w:p>
    <w:p w:rsidR="008D7D7B" w:rsidRDefault="008D7D7B" w:rsidP="008D7D7B">
      <w:pPr>
        <w:pStyle w:val="Odstavecseseznamem"/>
        <w:numPr>
          <w:ilvl w:val="0"/>
          <w:numId w:val="19"/>
        </w:numPr>
      </w:pPr>
      <w:r>
        <w:t xml:space="preserve">Bezpečná a odolná doprava a dopravní infrastruktura; </w:t>
      </w:r>
    </w:p>
    <w:p w:rsidR="008D7D7B" w:rsidRDefault="008D7D7B" w:rsidP="008D7D7B">
      <w:pPr>
        <w:pStyle w:val="Odstavecseseznamem"/>
        <w:numPr>
          <w:ilvl w:val="0"/>
          <w:numId w:val="19"/>
        </w:numPr>
      </w:pPr>
      <w:r>
        <w:t xml:space="preserve">Přístupná a interoperabilní doprava; </w:t>
      </w:r>
    </w:p>
    <w:p w:rsidR="00760FE8" w:rsidRDefault="008D7D7B" w:rsidP="008D7D7B">
      <w:pPr>
        <w:pStyle w:val="Odstavecseseznamem"/>
        <w:numPr>
          <w:ilvl w:val="0"/>
          <w:numId w:val="19"/>
        </w:numPr>
      </w:pPr>
      <w:r>
        <w:t>Automatizace, digitalizace, navigační a družicové systémy.</w:t>
      </w:r>
    </w:p>
    <w:p w:rsidR="008D7D7B" w:rsidRDefault="008D7D7B" w:rsidP="007E344D">
      <w:pPr>
        <w:rPr>
          <w:b/>
          <w:color w:val="1F4E79" w:themeColor="accent1" w:themeShade="80"/>
          <w:sz w:val="28"/>
          <w:szCs w:val="28"/>
        </w:rPr>
      </w:pPr>
    </w:p>
    <w:p w:rsidR="007E344D" w:rsidRPr="008F2375" w:rsidRDefault="007E344D" w:rsidP="007E344D">
      <w:pPr>
        <w:rPr>
          <w:b/>
          <w:color w:val="1F4E79" w:themeColor="accent1" w:themeShade="80"/>
          <w:sz w:val="28"/>
          <w:szCs w:val="28"/>
        </w:rPr>
      </w:pPr>
      <w:r w:rsidRPr="008F2375">
        <w:rPr>
          <w:b/>
          <w:color w:val="1F4E79" w:themeColor="accent1" w:themeShade="80"/>
          <w:sz w:val="28"/>
          <w:szCs w:val="28"/>
        </w:rPr>
        <w:t>Očekávané výsledky: alespoň jeden z následujících výsledků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Fprum</w:t>
      </w:r>
      <w:proofErr w:type="spellEnd"/>
      <w:r w:rsidRPr="00C804E7">
        <w:t xml:space="preserve"> – průmyslový vzor;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Fuzit</w:t>
      </w:r>
      <w:proofErr w:type="spellEnd"/>
      <w:r w:rsidRPr="00C804E7">
        <w:t xml:space="preserve"> – užitný vzor;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Gprot</w:t>
      </w:r>
      <w:proofErr w:type="spellEnd"/>
      <w:r w:rsidRPr="00C804E7">
        <w:t xml:space="preserve"> – prototyp;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Gfunk</w:t>
      </w:r>
      <w:proofErr w:type="spellEnd"/>
      <w:r w:rsidRPr="00C804E7">
        <w:t xml:space="preserve"> – funkční vzorek;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Hneleg</w:t>
      </w:r>
      <w:proofErr w:type="spellEnd"/>
      <w:r w:rsidRPr="00C804E7">
        <w:t xml:space="preserve"> – výsledky promítnuté do směrnic a předpisů nelegislativní povahy závazných v rámci kompetence příslušného poskytovatele;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Hkonc</w:t>
      </w:r>
      <w:proofErr w:type="spellEnd"/>
      <w:r w:rsidRPr="00C804E7">
        <w:t xml:space="preserve"> – výsledky promítnuté do schválených strategických a koncepčních dokumentů orgánů státní nebo veřejné správy;</w:t>
      </w:r>
    </w:p>
    <w:p w:rsidR="007E14F2" w:rsidRPr="00C804E7" w:rsidRDefault="007E14F2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NmetA</w:t>
      </w:r>
      <w:proofErr w:type="spellEnd"/>
      <w:r w:rsidRPr="00C804E7">
        <w:t xml:space="preserve"> – metodika a postup akreditované oprávněným orgánem;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NmetS</w:t>
      </w:r>
      <w:proofErr w:type="spellEnd"/>
      <w:r w:rsidRPr="00C804E7">
        <w:t xml:space="preserve"> – metodika schválená příslušným orgánem státní správy, do jehož kompetence daná problematika spadá – povinnou přílohou je</w:t>
      </w:r>
      <w:r w:rsidR="004E2A66" w:rsidRPr="00C804E7">
        <w:t xml:space="preserve"> Formulář</w:t>
      </w:r>
      <w:r w:rsidR="00C804E7" w:rsidRPr="00C804E7">
        <w:t xml:space="preserve"> pro druh výsledku </w:t>
      </w:r>
      <w:proofErr w:type="spellStart"/>
      <w:r w:rsidR="00C804E7" w:rsidRPr="00C804E7">
        <w:t>NmetS</w:t>
      </w:r>
      <w:proofErr w:type="spellEnd"/>
      <w:r w:rsidR="00C804E7" w:rsidRPr="00C804E7">
        <w:t xml:space="preserve"> – Ostatní, v případě, že příslušný orgán je Ministerstvo dopravy, tak se dokládá povinná příloha Formulář pro druh výsledku </w:t>
      </w:r>
      <w:proofErr w:type="spellStart"/>
      <w:r w:rsidR="00C804E7" w:rsidRPr="00C804E7">
        <w:t>NmetS</w:t>
      </w:r>
      <w:proofErr w:type="spellEnd"/>
      <w:r w:rsidR="00C804E7" w:rsidRPr="00C804E7">
        <w:t xml:space="preserve"> – MD</w:t>
      </w:r>
      <w:r w:rsidRPr="00C804E7">
        <w:t>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NmetC</w:t>
      </w:r>
      <w:proofErr w:type="spellEnd"/>
      <w:r w:rsidRPr="00C804E7">
        <w:t xml:space="preserve"> – metodika certifikovaná oprávněným orgánem;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Nmap</w:t>
      </w:r>
      <w:proofErr w:type="spellEnd"/>
      <w:r w:rsidRPr="00C804E7">
        <w:t xml:space="preserve"> – specializovaná mapa s odborným obsahem;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r w:rsidRPr="00C804E7">
        <w:t>P – patent – povinnou přílohou je patentová rešerše;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r w:rsidRPr="00C804E7">
        <w:t>R – software;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r w:rsidRPr="00C804E7">
        <w:t>S – specializovaná veřejná databáze;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Zpolop</w:t>
      </w:r>
      <w:proofErr w:type="spellEnd"/>
      <w:r w:rsidRPr="00C804E7">
        <w:t xml:space="preserve"> – poloprovoz;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proofErr w:type="spellStart"/>
      <w:r w:rsidRPr="00C804E7">
        <w:t>Ztech</w:t>
      </w:r>
      <w:proofErr w:type="spellEnd"/>
      <w:r w:rsidRPr="00C804E7">
        <w:t xml:space="preserve"> – ověřená technologie;</w:t>
      </w:r>
    </w:p>
    <w:p w:rsidR="007E344D" w:rsidRPr="00C804E7" w:rsidRDefault="007E344D" w:rsidP="007E344D">
      <w:pPr>
        <w:pStyle w:val="Odstavecseseznamem"/>
        <w:numPr>
          <w:ilvl w:val="0"/>
          <w:numId w:val="10"/>
        </w:numPr>
      </w:pPr>
      <w:r w:rsidRPr="00C804E7">
        <w:t>O – ostatní výsledky.</w:t>
      </w:r>
    </w:p>
    <w:p w:rsidR="007E344D" w:rsidRPr="008C5A66" w:rsidRDefault="007E344D" w:rsidP="007E344D">
      <w:pPr>
        <w:pStyle w:val="Odstavecseseznamem"/>
        <w:rPr>
          <w:highlight w:val="yellow"/>
        </w:rPr>
      </w:pPr>
    </w:p>
    <w:p w:rsidR="00760FE8" w:rsidRPr="00C804E7" w:rsidRDefault="007E14F2" w:rsidP="00760FE8">
      <w:pPr>
        <w:pStyle w:val="Odstavecseseznamem"/>
        <w:ind w:left="142"/>
      </w:pPr>
      <w:r w:rsidRPr="00C804E7">
        <w:t>Publikační výsledky (podle Metodiky druhy výsledků J, B, C, D), které vzniknou řešením projektu, mohou být uvedeny v návrhu projektu v části Další výstupy/výsledky. Není přípustné, aby tyto výsledky byly uváděny mezi Hlavní výstupy/výsledky (např. jako výsledky druhu O – ostatní výsledky).</w:t>
      </w:r>
    </w:p>
    <w:p w:rsidR="007E14F2" w:rsidRDefault="00C804E7" w:rsidP="007E14F2">
      <w:pPr>
        <w:pStyle w:val="Odstavecseseznamem"/>
        <w:ind w:left="142"/>
      </w:pPr>
      <w:r w:rsidRPr="00C804E7">
        <w:t>Povinné přílohy k výstupům/výsledkům musí být součástí návrhu projektu a nemohou být dodatečně doloženy.</w:t>
      </w:r>
      <w:r>
        <w:cr/>
      </w:r>
    </w:p>
    <w:p w:rsidR="00D66035" w:rsidRPr="00DD097B" w:rsidRDefault="00D66035" w:rsidP="0057770F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Aplikační garant:</w:t>
      </w:r>
    </w:p>
    <w:p w:rsidR="00CA65B4" w:rsidRPr="004E2A66" w:rsidRDefault="00D66035" w:rsidP="0057770F">
      <w:r w:rsidRPr="004E2A66">
        <w:t xml:space="preserve">Každý projekt musí mít </w:t>
      </w:r>
      <w:r w:rsidR="00AF3498" w:rsidRPr="004E2A66">
        <w:t xml:space="preserve">alespoň jednoho </w:t>
      </w:r>
      <w:r w:rsidRPr="004E2A66">
        <w:t xml:space="preserve">interního nebo externího aplikačního garanta </w:t>
      </w:r>
      <w:r w:rsidR="00AF3498" w:rsidRPr="004E2A66">
        <w:t>se sídlem v</w:t>
      </w:r>
      <w:r w:rsidR="007E14F2" w:rsidRPr="004E2A66">
        <w:t> </w:t>
      </w:r>
      <w:r w:rsidR="00AF3498" w:rsidRPr="004E2A66">
        <w:t>ČR</w:t>
      </w:r>
      <w:r w:rsidR="007E14F2" w:rsidRPr="004E2A66">
        <w:t>. Příloha</w:t>
      </w:r>
      <w:r w:rsidR="001A5AB0" w:rsidRPr="004E2A66">
        <w:t xml:space="preserve"> pro požadavky na </w:t>
      </w:r>
      <w:r w:rsidR="007E14F2" w:rsidRPr="004E2A66">
        <w:t xml:space="preserve">aplikačního garanta je dána na následujícím odkazu </w:t>
      </w:r>
      <w:hyperlink r:id="rId9" w:history="1">
        <w:r w:rsidR="004E2A66" w:rsidRPr="004E2A66">
          <w:rPr>
            <w:rStyle w:val="Hypertextovodkaz"/>
          </w:rPr>
          <w:t>https://www.tacr.cz/wp-content/uploads/documents/2022/04/04/1649074896_Aplika%C4%8Dn%C3%AD%20garant.pdf</w:t>
        </w:r>
      </w:hyperlink>
      <w:r w:rsidR="004E2A66" w:rsidRPr="004E2A66">
        <w:t xml:space="preserve"> </w:t>
      </w:r>
    </w:p>
    <w:p w:rsidR="004E2A66" w:rsidRPr="004E2A66" w:rsidRDefault="004E2A66" w:rsidP="0057770F">
      <w:r w:rsidRPr="004E2A66">
        <w:t>Aplikačních garantů může být i více, v takovém případě se pak během hodnocení bude posuzovat vhodnost, způsob a míra zapojení u všech uvedených aplikačních garantů.</w:t>
      </w:r>
    </w:p>
    <w:p w:rsidR="00760FE8" w:rsidRPr="004E2A66" w:rsidRDefault="00760FE8" w:rsidP="0057770F">
      <w:r w:rsidRPr="004E2A66">
        <w:t xml:space="preserve">Přílohy k aplikačním garantům </w:t>
      </w:r>
      <w:r w:rsidR="009D52CC" w:rsidRPr="004E2A66">
        <w:t xml:space="preserve">se </w:t>
      </w:r>
      <w:r w:rsidRPr="004E2A66">
        <w:t>vklád</w:t>
      </w:r>
      <w:r w:rsidR="009D52CC" w:rsidRPr="004E2A66">
        <w:t>ají</w:t>
      </w:r>
      <w:r w:rsidRPr="004E2A66">
        <w:t xml:space="preserve"> do kapitoly 8. PŘÍLOHY ZA PROJEKT (náležitosti, která tato příloha musí obsahovat, jsou uvedeny v</w:t>
      </w:r>
      <w:r w:rsidR="004E2A66" w:rsidRPr="004E2A66">
        <w:t xml:space="preserve"> příloze </w:t>
      </w:r>
      <w:hyperlink r:id="rId10" w:history="1">
        <w:r w:rsidR="004E2A66" w:rsidRPr="004E2A66">
          <w:rPr>
            <w:rStyle w:val="Hypertextovodkaz"/>
          </w:rPr>
          <w:t>Aplikační garant</w:t>
        </w:r>
      </w:hyperlink>
      <w:r w:rsidR="004E2A66" w:rsidRPr="004E2A66">
        <w:t>)</w:t>
      </w:r>
      <w:r w:rsidRPr="004E2A66">
        <w:t>.</w:t>
      </w:r>
    </w:p>
    <w:p w:rsidR="009D52CC" w:rsidRDefault="009D52CC" w:rsidP="0057770F">
      <w:r w:rsidRPr="004E2A66">
        <w:t xml:space="preserve">V případě zájmu o aplikační </w:t>
      </w:r>
      <w:proofErr w:type="spellStart"/>
      <w:r w:rsidRPr="004E2A66">
        <w:t>garantství</w:t>
      </w:r>
      <w:proofErr w:type="spellEnd"/>
      <w:r w:rsidRPr="004E2A66">
        <w:t xml:space="preserve"> od Ministerstva dopravy je potřeba zaslat vyplněnou Žádost o aplikační </w:t>
      </w:r>
      <w:proofErr w:type="spellStart"/>
      <w:r w:rsidRPr="004E2A66">
        <w:t>garantství</w:t>
      </w:r>
      <w:proofErr w:type="spellEnd"/>
      <w:r w:rsidRPr="004E2A66">
        <w:t xml:space="preserve"> na e-mailovou adresu doprava2020@mdcr.cz, a to nejpozději do </w:t>
      </w:r>
      <w:r w:rsidR="004E2A66" w:rsidRPr="004E2A66">
        <w:t>2</w:t>
      </w:r>
      <w:r w:rsidRPr="004E2A66">
        <w:t>. května 202</w:t>
      </w:r>
      <w:r w:rsidR="004E2A66" w:rsidRPr="004E2A66">
        <w:t>2</w:t>
      </w:r>
      <w:r w:rsidRPr="004E2A66">
        <w:t>.</w:t>
      </w:r>
    </w:p>
    <w:p w:rsidR="0057770F" w:rsidRDefault="00AF3498" w:rsidP="0057770F">
      <w:r>
        <w:t xml:space="preserve"> </w:t>
      </w:r>
    </w:p>
    <w:p w:rsidR="0057770F" w:rsidRPr="00DD097B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DD097B">
        <w:rPr>
          <w:b/>
          <w:color w:val="1F4E79" w:themeColor="accent1" w:themeShade="80"/>
          <w:sz w:val="28"/>
          <w:szCs w:val="28"/>
        </w:rPr>
        <w:t>Základní finanční údaje</w:t>
      </w:r>
      <w:r w:rsidR="00CA65B4">
        <w:rPr>
          <w:b/>
          <w:color w:val="1F4E79" w:themeColor="accent1" w:themeShade="80"/>
          <w:sz w:val="28"/>
          <w:szCs w:val="28"/>
        </w:rPr>
        <w:t>: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C804E7">
        <w:t xml:space="preserve">Alokace soutěže </w:t>
      </w:r>
      <w:r w:rsidRPr="00C804E7">
        <w:rPr>
          <w:b/>
        </w:rPr>
        <w:t xml:space="preserve">- </w:t>
      </w:r>
      <w:r w:rsidR="00C804E7" w:rsidRPr="00C804E7">
        <w:rPr>
          <w:b/>
        </w:rPr>
        <w:t>495</w:t>
      </w:r>
      <w:r w:rsidRPr="00C804E7">
        <w:rPr>
          <w:b/>
        </w:rPr>
        <w:t xml:space="preserve"> mil. Kč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5E71F4">
        <w:t>Maximální částka podpory na jeden projekt -</w:t>
      </w:r>
      <w:r w:rsidRPr="005E71F4">
        <w:rPr>
          <w:b/>
        </w:rPr>
        <w:t>50 mil. Kč</w:t>
      </w:r>
    </w:p>
    <w:p w:rsidR="0057770F" w:rsidRPr="005E71F4" w:rsidRDefault="0057770F" w:rsidP="007C2781">
      <w:pPr>
        <w:spacing w:line="100" w:lineRule="atLeast"/>
        <w:rPr>
          <w:b/>
        </w:rPr>
      </w:pPr>
      <w:r w:rsidRPr="005E71F4">
        <w:t>Maximální intenzita podpory na projekt</w:t>
      </w:r>
      <w:r w:rsidR="00D66035" w:rsidRPr="005E71F4">
        <w:t xml:space="preserve"> - </w:t>
      </w:r>
      <w:r w:rsidRPr="005E71F4">
        <w:rPr>
          <w:b/>
        </w:rPr>
        <w:t>80 %</w:t>
      </w:r>
    </w:p>
    <w:p w:rsidR="00D66035" w:rsidRDefault="00D66035" w:rsidP="007C2781">
      <w:pPr>
        <w:spacing w:line="100" w:lineRule="atLeast"/>
        <w:rPr>
          <w:b/>
        </w:rPr>
      </w:pPr>
      <w:r w:rsidRPr="005E71F4">
        <w:rPr>
          <w:b/>
        </w:rPr>
        <w:t>Maximální intenzita podpory pro výzkumnou organizaci -  100%</w:t>
      </w:r>
    </w:p>
    <w:p w:rsidR="00894BEB" w:rsidRDefault="00894BEB" w:rsidP="0057770F">
      <w:pPr>
        <w:rPr>
          <w:b/>
        </w:rPr>
      </w:pPr>
    </w:p>
    <w:p w:rsidR="005E71F4" w:rsidRPr="004E78D3" w:rsidRDefault="00FE3CFC" w:rsidP="00DD097B">
      <w:pPr>
        <w:rPr>
          <w:b/>
          <w:color w:val="1F4E79" w:themeColor="accent1" w:themeShade="80"/>
          <w:sz w:val="28"/>
          <w:szCs w:val="28"/>
        </w:rPr>
      </w:pPr>
      <w:r w:rsidRPr="004E78D3">
        <w:rPr>
          <w:b/>
          <w:color w:val="1F4E79" w:themeColor="accent1" w:themeShade="80"/>
          <w:sz w:val="28"/>
          <w:szCs w:val="28"/>
        </w:rPr>
        <w:t xml:space="preserve">Způsobilé náklady: </w:t>
      </w: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u w:val="single"/>
          <w:lang w:eastAsia="cs-CZ"/>
        </w:rPr>
        <w:t>Osobní náklady</w:t>
      </w:r>
      <w:r w:rsidRPr="004E78D3">
        <w:rPr>
          <w:rFonts w:eastAsia="Times New Roman" w:cstheme="minorHAnsi"/>
          <w:lang w:eastAsia="cs-CZ"/>
        </w:rPr>
        <w:t>: Náklady na mzdy nebo platy a povinné odvody ZP, SP, zákonné pojištění odpovědnosti zaměstnavatele (34,22%), sociální fond – 1,5 %. Uznatelné osobní náklady jsou tedy hrubá mzda krát 1,3572 (součet pojištění a soc. fondu) – tj. plus 35,72 %. Mzdy, odměny z DPČ a DPP musí odpovídat schválenému mzdovému předpisu.</w:t>
      </w:r>
    </w:p>
    <w:p w:rsidR="00D8236C" w:rsidRPr="004E78D3" w:rsidRDefault="00D8236C" w:rsidP="00D8236C">
      <w:pPr>
        <w:pStyle w:val="Default"/>
        <w:numPr>
          <w:ilvl w:val="0"/>
          <w:numId w:val="12"/>
        </w:numPr>
        <w:spacing w:after="178"/>
        <w:rPr>
          <w:sz w:val="22"/>
          <w:szCs w:val="22"/>
        </w:rPr>
      </w:pPr>
      <w:r w:rsidRPr="004E78D3">
        <w:rPr>
          <w:sz w:val="22"/>
          <w:szCs w:val="22"/>
        </w:rPr>
        <w:t xml:space="preserve">stipendia (na VUT nedoporučováno); </w:t>
      </w: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u w:val="single"/>
          <w:lang w:eastAsia="cs-CZ"/>
        </w:rPr>
        <w:t>Náhrady z mezd:</w:t>
      </w:r>
      <w:r w:rsidRPr="004E78D3">
        <w:rPr>
          <w:rFonts w:eastAsia="Times New Roman" w:cstheme="minorHAnsi"/>
          <w:lang w:eastAsia="cs-CZ"/>
        </w:rPr>
        <w:t xml:space="preserve"> uznatelné (náhrady za dovolenou a nemoc u pracovníka s pevně stanoveným </w:t>
      </w:r>
      <w:proofErr w:type="spellStart"/>
      <w:r w:rsidRPr="004E78D3">
        <w:rPr>
          <w:rFonts w:eastAsia="Times New Roman" w:cstheme="minorHAnsi"/>
          <w:lang w:eastAsia="cs-CZ"/>
        </w:rPr>
        <w:t>prac</w:t>
      </w:r>
      <w:proofErr w:type="spellEnd"/>
      <w:r w:rsidRPr="004E78D3">
        <w:rPr>
          <w:rFonts w:eastAsia="Times New Roman" w:cstheme="minorHAnsi"/>
          <w:lang w:eastAsia="cs-CZ"/>
        </w:rPr>
        <w:t xml:space="preserve">. </w:t>
      </w:r>
      <w:proofErr w:type="gramStart"/>
      <w:r w:rsidRPr="004E78D3">
        <w:rPr>
          <w:rFonts w:eastAsia="Times New Roman" w:cstheme="minorHAnsi"/>
          <w:lang w:eastAsia="cs-CZ"/>
        </w:rPr>
        <w:t>úvazkem</w:t>
      </w:r>
      <w:proofErr w:type="gramEnd"/>
      <w:r w:rsidRPr="004E78D3">
        <w:rPr>
          <w:rFonts w:eastAsia="Times New Roman" w:cstheme="minorHAnsi"/>
          <w:lang w:eastAsia="cs-CZ"/>
        </w:rPr>
        <w:t>); </w:t>
      </w:r>
    </w:p>
    <w:p w:rsidR="00D8236C" w:rsidRPr="004E78D3" w:rsidRDefault="00D8236C" w:rsidP="00D8236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u w:val="single"/>
          <w:lang w:eastAsia="cs-CZ"/>
        </w:rPr>
        <w:t>Odměny</w:t>
      </w:r>
      <w:r w:rsidRPr="004E78D3">
        <w:rPr>
          <w:rFonts w:eastAsia="Times New Roman" w:cstheme="minorHAnsi"/>
          <w:lang w:eastAsia="cs-CZ"/>
        </w:rPr>
        <w:t>: uznatelné (jen u zaměstnanců s úvazkem na projektu); do výše</w:t>
      </w:r>
      <w:r w:rsidR="004E78D3">
        <w:rPr>
          <w:rFonts w:eastAsia="Times New Roman" w:cstheme="minorHAnsi"/>
          <w:lang w:eastAsia="cs-CZ"/>
        </w:rPr>
        <w:t> maximálně dvou měsíčních platů;</w:t>
      </w:r>
    </w:p>
    <w:p w:rsidR="00D8236C" w:rsidRPr="004E78D3" w:rsidRDefault="00D8236C" w:rsidP="00D8236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lang w:eastAsia="cs-CZ"/>
        </w:rPr>
        <w:t> </w:t>
      </w:r>
      <w:r w:rsidRPr="004E78D3">
        <w:rPr>
          <w:rFonts w:eastAsia="Times New Roman" w:cstheme="minorHAnsi"/>
          <w:u w:val="single"/>
          <w:lang w:eastAsia="cs-CZ"/>
        </w:rPr>
        <w:t>Náklady na subdodávky:</w:t>
      </w:r>
      <w:r w:rsidRPr="004E78D3">
        <w:rPr>
          <w:rFonts w:eastAsia="Times New Roman" w:cstheme="minorHAnsi"/>
          <w:lang w:eastAsia="cs-CZ"/>
        </w:rPr>
        <w:t> omezeny 20 % z celkových uznaných nákladů všech účastníků projektu za celou dobu řešení;</w:t>
      </w:r>
    </w:p>
    <w:p w:rsidR="00D8236C" w:rsidRPr="004E78D3" w:rsidRDefault="00D8236C" w:rsidP="00D8236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u w:val="single"/>
          <w:lang w:eastAsia="cs-CZ"/>
        </w:rPr>
        <w:t>Ostatní přímé náklady:</w:t>
      </w:r>
      <w:r w:rsidRPr="004E78D3">
        <w:rPr>
          <w:rFonts w:eastAsia="Times New Roman" w:cstheme="minorHAnsi"/>
          <w:lang w:eastAsia="cs-CZ"/>
        </w:rPr>
        <w:t>  např. na ochranu práv duševního vlastnictví, další provozní náklady vzniklé v přímé souvislosti s řešením projektu, kterými jsou materiál, služby a drobný hmotný a nehmotný majetek, náklady na opravy a údržbu hmotného a nehmotného majetku, část ročních odpisů dlouhodobého hmotného a nehmotného majetku, cestovní náklady)</w:t>
      </w:r>
      <w:r w:rsidR="004E78D3">
        <w:rPr>
          <w:rFonts w:eastAsia="Times New Roman" w:cstheme="minorHAnsi"/>
          <w:lang w:eastAsia="cs-CZ"/>
        </w:rPr>
        <w:t>;</w:t>
      </w:r>
    </w:p>
    <w:p w:rsidR="00D8236C" w:rsidRPr="004E78D3" w:rsidRDefault="00D8236C" w:rsidP="00D8236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lang w:eastAsia="cs-CZ"/>
        </w:rPr>
        <w:t> </w:t>
      </w:r>
      <w:r w:rsidRPr="004E78D3">
        <w:rPr>
          <w:rFonts w:eastAsia="Times New Roman" w:cstheme="minorHAnsi"/>
          <w:u w:val="single"/>
          <w:lang w:eastAsia="cs-CZ"/>
        </w:rPr>
        <w:t>Nepřímé náklady:</w:t>
      </w:r>
      <w:r w:rsidRPr="004E78D3">
        <w:rPr>
          <w:rFonts w:eastAsia="Times New Roman" w:cstheme="minorHAnsi"/>
          <w:lang w:eastAsia="cs-CZ"/>
        </w:rPr>
        <w:t> vykazovat metodou “</w:t>
      </w:r>
      <w:proofErr w:type="spellStart"/>
      <w:r w:rsidRPr="004E78D3">
        <w:rPr>
          <w:rFonts w:eastAsia="Times New Roman" w:cstheme="minorHAnsi"/>
          <w:b/>
          <w:bCs/>
          <w:lang w:eastAsia="cs-CZ"/>
        </w:rPr>
        <w:t>flat</w:t>
      </w:r>
      <w:proofErr w:type="spellEnd"/>
      <w:r w:rsidRPr="004E78D3">
        <w:rPr>
          <w:rFonts w:eastAsia="Times New Roman" w:cstheme="minorHAnsi"/>
          <w:b/>
          <w:bCs/>
          <w:lang w:eastAsia="cs-CZ"/>
        </w:rPr>
        <w:t xml:space="preserve"> </w:t>
      </w:r>
      <w:proofErr w:type="spellStart"/>
      <w:r w:rsidRPr="004E78D3">
        <w:rPr>
          <w:rFonts w:eastAsia="Times New Roman" w:cstheme="minorHAnsi"/>
          <w:b/>
          <w:bCs/>
          <w:lang w:eastAsia="cs-CZ"/>
        </w:rPr>
        <w:t>rate</w:t>
      </w:r>
      <w:proofErr w:type="spellEnd"/>
      <w:r w:rsidRPr="004E78D3">
        <w:rPr>
          <w:rFonts w:eastAsia="Times New Roman" w:cstheme="minorHAnsi"/>
          <w:lang w:eastAsia="cs-CZ"/>
        </w:rPr>
        <w:t>” </w:t>
      </w:r>
      <w:r w:rsidRPr="004E78D3">
        <w:rPr>
          <w:rFonts w:eastAsia="Times New Roman" w:cstheme="minorHAnsi"/>
          <w:b/>
          <w:bCs/>
          <w:lang w:eastAsia="cs-CZ"/>
        </w:rPr>
        <w:t>do výše 25 % </w:t>
      </w:r>
      <w:r w:rsidRPr="004E78D3">
        <w:rPr>
          <w:rFonts w:eastAsia="Times New Roman" w:cstheme="minorHAnsi"/>
          <w:lang w:eastAsia="cs-CZ"/>
        </w:rPr>
        <w:t>ze součtu skutečně vykázaných osobních nákladů a ostatních přímých nák</w:t>
      </w:r>
      <w:r w:rsidR="004E78D3">
        <w:rPr>
          <w:rFonts w:eastAsia="Times New Roman" w:cstheme="minorHAnsi"/>
          <w:lang w:eastAsia="cs-CZ"/>
        </w:rPr>
        <w:t>ladů příjemce v příslušném roce;</w:t>
      </w:r>
    </w:p>
    <w:p w:rsidR="00D8236C" w:rsidRPr="004E78D3" w:rsidRDefault="00D8236C" w:rsidP="00D8236C">
      <w:p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r w:rsidRPr="004E78D3">
        <w:rPr>
          <w:rFonts w:eastAsia="Times New Roman" w:cstheme="minorHAnsi"/>
          <w:u w:val="single"/>
          <w:lang w:eastAsia="cs-CZ"/>
        </w:rPr>
        <w:t>Investiční náklady:</w:t>
      </w:r>
      <w:r w:rsidRPr="004E78D3">
        <w:rPr>
          <w:rFonts w:eastAsia="Times New Roman" w:cstheme="minorHAnsi"/>
          <w:lang w:eastAsia="cs-CZ"/>
        </w:rPr>
        <w:t xml:space="preserve"> nezpůsobilé, </w:t>
      </w:r>
      <w:r w:rsidR="004E78D3" w:rsidRPr="004E78D3">
        <w:rPr>
          <w:rFonts w:eastAsia="Times New Roman" w:cstheme="minorHAnsi"/>
          <w:lang w:eastAsia="cs-CZ"/>
        </w:rPr>
        <w:t>Vše</w:t>
      </w:r>
      <w:r w:rsidR="004E78D3">
        <w:rPr>
          <w:rFonts w:eastAsia="Times New Roman" w:cstheme="minorHAnsi"/>
          <w:lang w:eastAsia="cs-CZ"/>
        </w:rPr>
        <w:t>obecné podmínky č. 7, článek 18;</w:t>
      </w:r>
    </w:p>
    <w:p w:rsidR="00D8236C" w:rsidRPr="00D8236C" w:rsidRDefault="00D8236C" w:rsidP="00D8236C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highlight w:val="yellow"/>
          <w:lang w:eastAsia="cs-CZ"/>
        </w:rPr>
      </w:pPr>
    </w:p>
    <w:p w:rsidR="00D8236C" w:rsidRPr="004E78D3" w:rsidRDefault="00D8236C" w:rsidP="00D8236C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eastAsia="Times New Roman" w:cstheme="minorHAnsi"/>
          <w:lang w:eastAsia="cs-CZ"/>
        </w:rPr>
      </w:pPr>
      <w:proofErr w:type="spellStart"/>
      <w:r w:rsidRPr="004E78D3">
        <w:rPr>
          <w:rFonts w:eastAsia="Times New Roman" w:cstheme="minorHAnsi"/>
          <w:u w:val="single"/>
          <w:lang w:eastAsia="cs-CZ"/>
        </w:rPr>
        <w:lastRenderedPageBreak/>
        <w:t>Info</w:t>
      </w:r>
      <w:proofErr w:type="spellEnd"/>
      <w:r w:rsidRPr="004E78D3">
        <w:rPr>
          <w:rFonts w:eastAsia="Times New Roman" w:cstheme="minorHAnsi"/>
          <w:u w:val="single"/>
          <w:lang w:eastAsia="cs-CZ"/>
        </w:rPr>
        <w:t xml:space="preserve"> k DPH</w:t>
      </w:r>
      <w:r w:rsidRPr="004E78D3">
        <w:rPr>
          <w:rFonts w:eastAsia="Times New Roman" w:cstheme="minorHAnsi"/>
          <w:lang w:eastAsia="cs-CZ"/>
        </w:rPr>
        <w:t xml:space="preserve">: všechny projekty, které budou řešeny v rámci </w:t>
      </w:r>
      <w:proofErr w:type="spellStart"/>
      <w:r w:rsidRPr="004E78D3">
        <w:rPr>
          <w:rFonts w:eastAsia="Times New Roman" w:cstheme="minorHAnsi"/>
          <w:lang w:eastAsia="cs-CZ"/>
        </w:rPr>
        <w:t>nehospodářské</w:t>
      </w:r>
      <w:proofErr w:type="spellEnd"/>
      <w:r w:rsidRPr="004E78D3">
        <w:rPr>
          <w:rFonts w:eastAsia="Times New Roman" w:cstheme="minorHAnsi"/>
          <w:lang w:eastAsia="cs-CZ"/>
        </w:rPr>
        <w:t xml:space="preserve"> činnosti podáváte pouze v režimu „bez nároku na DPH“, </w:t>
      </w:r>
      <w:proofErr w:type="gramStart"/>
      <w:r w:rsidRPr="004E78D3">
        <w:rPr>
          <w:rFonts w:eastAsia="Times New Roman" w:cstheme="minorHAnsi"/>
          <w:lang w:eastAsia="cs-CZ"/>
        </w:rPr>
        <w:t>tzn.</w:t>
      </w:r>
      <w:proofErr w:type="gramEnd"/>
      <w:r w:rsidRPr="004E78D3">
        <w:rPr>
          <w:rFonts w:eastAsia="Times New Roman" w:cstheme="minorHAnsi"/>
          <w:lang w:eastAsia="cs-CZ"/>
        </w:rPr>
        <w:t xml:space="preserve"> náklady </w:t>
      </w:r>
      <w:proofErr w:type="gramStart"/>
      <w:r w:rsidRPr="004E78D3">
        <w:rPr>
          <w:rFonts w:eastAsia="Times New Roman" w:cstheme="minorHAnsi"/>
          <w:lang w:eastAsia="cs-CZ"/>
        </w:rPr>
        <w:t>plánujete</w:t>
      </w:r>
      <w:proofErr w:type="gramEnd"/>
      <w:r w:rsidRPr="004E78D3">
        <w:rPr>
          <w:rFonts w:eastAsia="Times New Roman" w:cstheme="minorHAnsi"/>
          <w:lang w:eastAsia="cs-CZ"/>
        </w:rPr>
        <w:t xml:space="preserve"> do projektu vč. DPH, tzn. DPH tak bude uznatelným nákladem.</w:t>
      </w:r>
    </w:p>
    <w:p w:rsidR="00D8236C" w:rsidRDefault="00D8236C" w:rsidP="00D8236C">
      <w:pPr>
        <w:pStyle w:val="Default"/>
        <w:ind w:left="720"/>
        <w:rPr>
          <w:sz w:val="22"/>
          <w:szCs w:val="22"/>
        </w:rPr>
      </w:pPr>
    </w:p>
    <w:p w:rsidR="00FE3CFC" w:rsidRDefault="00FE3CFC" w:rsidP="0057770F">
      <w:pPr>
        <w:rPr>
          <w:b/>
        </w:rPr>
      </w:pPr>
    </w:p>
    <w:p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894BEB" w:rsidRDefault="00894BEB" w:rsidP="0057770F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11" w:history="1">
        <w:r w:rsidR="004E2A66" w:rsidRPr="00816DA0">
          <w:rPr>
            <w:rStyle w:val="Hypertextovodkaz"/>
          </w:rPr>
          <w:t>https://ista.tacr.cz/ISTA/action/Dashboard/ExternalNew/?actionId=4396311232625115&amp;ts=1618409983006&amp;hash=b+/wcP7Y8IGU1RkRhz37cXn5Y/ub2EB46M5pPdMyoEc=&amp;nbl=true&amp;uselastresult=true&amp;_browserSessionID=&amp;lang</w:t>
        </w:r>
      </w:hyperlink>
      <w:r w:rsidR="007E14F2" w:rsidRPr="007E14F2">
        <w:t>=</w:t>
      </w:r>
      <w:r w:rsidR="007E14F2">
        <w:t xml:space="preserve"> </w:t>
      </w:r>
    </w:p>
    <w:p w:rsidR="00894BEB" w:rsidRDefault="00894BEB" w:rsidP="0057770F">
      <w:pPr>
        <w:rPr>
          <w:b/>
        </w:rPr>
      </w:pPr>
    </w:p>
    <w:p w:rsidR="00894BEB" w:rsidRPr="00AD0BCF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C4569A" w:rsidRDefault="00894BEB" w:rsidP="007E14F2">
      <w:pPr>
        <w:rPr>
          <w:b/>
        </w:rPr>
      </w:pPr>
      <w:r w:rsidRPr="00294F2E">
        <w:rPr>
          <w:b/>
        </w:rPr>
        <w:t>Čestné prohlášení za uchazeče</w:t>
      </w:r>
      <w:r w:rsidR="00C804E7">
        <w:rPr>
          <w:b/>
        </w:rPr>
        <w:t xml:space="preserve"> VUT</w:t>
      </w:r>
      <w:r w:rsidRPr="00294F2E">
        <w:rPr>
          <w:b/>
        </w:rPr>
        <w:t xml:space="preserve"> – bude zajištěno rektorátem prostřednictvím datové schránky centrálně za všechny projekty ve lhůtě stanovené poskytovatelem.</w:t>
      </w:r>
      <w:r w:rsidR="007E344D">
        <w:rPr>
          <w:b/>
        </w:rPr>
        <w:t xml:space="preserve"> (Každý uchazeč musí poslat své ČP ze své datové schránky</w:t>
      </w:r>
      <w:r w:rsidR="00C4569A">
        <w:rPr>
          <w:b/>
        </w:rPr>
        <w:t xml:space="preserve">). Při zaslání ČP musí být v datovém poli Věc: uvedeno </w:t>
      </w:r>
      <w:r w:rsidR="00C4569A" w:rsidRPr="00C4569A">
        <w:rPr>
          <w:b/>
        </w:rPr>
        <w:t>„</w:t>
      </w:r>
      <w:r w:rsidR="007E14F2" w:rsidRPr="007E14F2">
        <w:rPr>
          <w:b/>
        </w:rPr>
        <w:t>Program DOPRAVA 2020+ – Prokázání</w:t>
      </w:r>
      <w:r w:rsidR="007E14F2">
        <w:rPr>
          <w:b/>
        </w:rPr>
        <w:t xml:space="preserve"> </w:t>
      </w:r>
      <w:r w:rsidR="007E14F2" w:rsidRPr="007E14F2">
        <w:rPr>
          <w:b/>
        </w:rPr>
        <w:t>způsobilosti“</w:t>
      </w:r>
      <w:r w:rsidR="00C4569A" w:rsidRPr="00C4569A">
        <w:rPr>
          <w:b/>
        </w:rPr>
        <w:t>.</w:t>
      </w:r>
    </w:p>
    <w:p w:rsidR="00AD0BCF" w:rsidRDefault="00AD0BCF" w:rsidP="0057770F">
      <w:pPr>
        <w:rPr>
          <w:b/>
        </w:rPr>
      </w:pPr>
      <w:r>
        <w:rPr>
          <w:b/>
        </w:rPr>
        <w:t>VUT splňuje povinnost zveřejnit účetní závěrku tím, že vydává výroční zprávu o hospodaření.</w:t>
      </w:r>
    </w:p>
    <w:p w:rsidR="00894BEB" w:rsidRDefault="00760FE8" w:rsidP="00760FE8">
      <w:pPr>
        <w:rPr>
          <w:b/>
        </w:rPr>
      </w:pPr>
      <w:r w:rsidRPr="00760FE8">
        <w:rPr>
          <w:b/>
        </w:rPr>
        <w:t>V případě, že další účastník nemá datovou schránku, může čestné prohlášení poslat listině jako</w:t>
      </w:r>
      <w:r>
        <w:rPr>
          <w:b/>
        </w:rPr>
        <w:t xml:space="preserve"> </w:t>
      </w:r>
      <w:r w:rsidRPr="00760FE8">
        <w:rPr>
          <w:b/>
        </w:rPr>
        <w:t>zahraniční další účastní</w:t>
      </w:r>
      <w:r>
        <w:rPr>
          <w:b/>
        </w:rPr>
        <w:t>k, v tomto případě bude ČP podepsáno statutárním zástupcem.</w:t>
      </w:r>
    </w:p>
    <w:p w:rsidR="00760FE8" w:rsidRDefault="00760FE8" w:rsidP="00760FE8">
      <w:pPr>
        <w:rPr>
          <w:b/>
        </w:rPr>
      </w:pPr>
    </w:p>
    <w:p w:rsidR="00894BEB" w:rsidRPr="00AD0BCF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AD0BCF">
        <w:rPr>
          <w:b/>
          <w:color w:val="1F4E79" w:themeColor="accent1" w:themeShade="80"/>
          <w:sz w:val="28"/>
          <w:szCs w:val="28"/>
        </w:rPr>
        <w:t>Návrh projektu:</w:t>
      </w:r>
    </w:p>
    <w:p w:rsidR="003206E0" w:rsidRDefault="003206E0" w:rsidP="0057770F">
      <w:pPr>
        <w:rPr>
          <w:b/>
        </w:rPr>
      </w:pPr>
      <w:r w:rsidRPr="003206E0">
        <w:t>Při spolupráci více uchazečů je nutné v návrhu popsat způsob řízení, rozdělení práv a přístup k výstupům a výsledkům (bude se promítat do smlouvy mezi uchazeči)</w:t>
      </w:r>
      <w:r w:rsidR="00AD0BCF">
        <w:t xml:space="preserve"> </w:t>
      </w:r>
      <w:r w:rsidR="00AD0BCF">
        <w:rPr>
          <w:b/>
        </w:rPr>
        <w:t xml:space="preserve">Nutné je se v návrhu projektu také vymezit k možným duplicitám projektu nejen s projekty daného výzkumného týmu, ale také k projektům, které mají stejný nebo podobný výzkumný cíl. </w:t>
      </w:r>
      <w:r w:rsidR="00C804E7">
        <w:rPr>
          <w:b/>
        </w:rPr>
        <w:t xml:space="preserve">Nutné popsat NOVOST předkládaného projektu. </w:t>
      </w:r>
      <w:r w:rsidR="00AD0BCF">
        <w:rPr>
          <w:b/>
        </w:rPr>
        <w:t>Jedná se o podstatnou část hodnocení.</w:t>
      </w:r>
    </w:p>
    <w:p w:rsidR="002D1982" w:rsidRPr="002D1982" w:rsidRDefault="002D1982" w:rsidP="002D1982">
      <w:pPr>
        <w:rPr>
          <w:b/>
        </w:rPr>
      </w:pPr>
      <w:r w:rsidRPr="002D1982">
        <w:rPr>
          <w:b/>
        </w:rPr>
        <w:t xml:space="preserve">Technologická agentura ČR doporučuje využít vyhledávač podpořených projektů STARFOS, popřípadě Informační systém výzkumu, experimentálního vývoje a inovací (IS </w:t>
      </w:r>
      <w:proofErr w:type="spellStart"/>
      <w:r w:rsidRPr="002D1982">
        <w:rPr>
          <w:b/>
        </w:rPr>
        <w:t>VaVaI</w:t>
      </w:r>
      <w:proofErr w:type="spellEnd"/>
      <w:r w:rsidRPr="002D1982">
        <w:rPr>
          <w:b/>
        </w:rPr>
        <w:t>).</w:t>
      </w:r>
    </w:p>
    <w:p w:rsidR="002D1982" w:rsidRPr="00C4569A" w:rsidRDefault="002D1982" w:rsidP="00760FE8">
      <w:r w:rsidRPr="00C4569A">
        <w:t>Pro podání projektu je nutné po jeho odeslání z ISTA vygenerovat z účtu vlastníka Potvrzení podání elektronického návrhu projektu do ISTA, které bude zasláno datovou zprávou hlavního uchazeče v datovém poli „Věc“ bude uvedeno „</w:t>
      </w:r>
      <w:r w:rsidR="00760FE8">
        <w:t>Program DOPRAVA 2020+ – Potvrzení podání“.</w:t>
      </w:r>
    </w:p>
    <w:p w:rsidR="007E344D" w:rsidRDefault="007E344D" w:rsidP="0057770F">
      <w:pPr>
        <w:rPr>
          <w:b/>
        </w:rPr>
      </w:pPr>
    </w:p>
    <w:p w:rsidR="007E344D" w:rsidRPr="001A5AB0" w:rsidRDefault="007E344D" w:rsidP="0057770F">
      <w:pPr>
        <w:rPr>
          <w:b/>
          <w:color w:val="1F4E79" w:themeColor="accent1" w:themeShade="80"/>
          <w:sz w:val="28"/>
          <w:szCs w:val="28"/>
        </w:rPr>
      </w:pPr>
      <w:r w:rsidRPr="001A5AB0">
        <w:rPr>
          <w:b/>
          <w:color w:val="1F4E79" w:themeColor="accent1" w:themeShade="80"/>
          <w:sz w:val="28"/>
          <w:szCs w:val="28"/>
        </w:rPr>
        <w:t>Důležité předpoklady dokladované prostřednictvím přílohy ISTA:</w:t>
      </w:r>
    </w:p>
    <w:p w:rsidR="007E344D" w:rsidRPr="007E344D" w:rsidRDefault="007E344D" w:rsidP="007E344D">
      <w:pPr>
        <w:pStyle w:val="Odstavecseseznamem"/>
        <w:numPr>
          <w:ilvl w:val="0"/>
          <w:numId w:val="11"/>
        </w:numPr>
      </w:pPr>
      <w:r w:rsidRPr="007E344D">
        <w:rPr>
          <w:b/>
        </w:rPr>
        <w:t xml:space="preserve">odborné předpoklady k řešení projektu </w:t>
      </w:r>
      <w:r w:rsidRPr="007E344D">
        <w:t>– vyplňují se u klíčových osob řešitelského týmu v části “Odborný životopis”. Každý uchazeč musí mít v návrhu projektu alespoň jednu osobu v roli řešitel/další řešitel;</w:t>
      </w:r>
    </w:p>
    <w:p w:rsidR="007E344D" w:rsidRDefault="007E344D" w:rsidP="007E344D">
      <w:pPr>
        <w:pStyle w:val="Odstavecseseznamem"/>
        <w:numPr>
          <w:ilvl w:val="0"/>
          <w:numId w:val="11"/>
        </w:numPr>
      </w:pPr>
      <w:r w:rsidRPr="007E344D">
        <w:rPr>
          <w:b/>
        </w:rPr>
        <w:t xml:space="preserve">oprávnění k činnosti </w:t>
      </w:r>
      <w:r w:rsidRPr="007E344D">
        <w:t>– do návrhu projektu se vkládá kopie (např. oprávnění k projektování letecké techniky, povolení k zvláštnímu užívání silnice, dálnice)</w:t>
      </w:r>
      <w:r w:rsidR="00AA5CA4">
        <w:t>;</w:t>
      </w:r>
    </w:p>
    <w:p w:rsidR="00AA5CA4" w:rsidRDefault="00AA5CA4" w:rsidP="007E344D">
      <w:pPr>
        <w:pStyle w:val="Odstavecseseznamem"/>
        <w:numPr>
          <w:ilvl w:val="0"/>
          <w:numId w:val="11"/>
        </w:numPr>
      </w:pPr>
      <w:r w:rsidRPr="00AA5CA4">
        <w:rPr>
          <w:b/>
        </w:rPr>
        <w:lastRenderedPageBreak/>
        <w:t>vlastnická struktura za každého uchazeče</w:t>
      </w:r>
      <w:r>
        <w:t xml:space="preserve"> – každý uchazeč musí uvést všechny koncové fyzické osoby, které mají podíl minimálně 10 % (pokud z právní formy uchazeče vyplývá, že nemá vlastnickou strukturu, tato povinnost se na něj nevztahuje).</w:t>
      </w:r>
    </w:p>
    <w:p w:rsidR="007E344D" w:rsidRPr="003206E0" w:rsidRDefault="007E344D" w:rsidP="0057770F"/>
    <w:p w:rsidR="003206E0" w:rsidRPr="001A5AB0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1A5AB0">
        <w:rPr>
          <w:b/>
          <w:color w:val="1F4E79" w:themeColor="accent1" w:themeShade="80"/>
          <w:sz w:val="28"/>
          <w:szCs w:val="28"/>
        </w:rPr>
        <w:t>Povinné přílohy:</w:t>
      </w:r>
    </w:p>
    <w:p w:rsidR="003206E0" w:rsidRPr="003206E0" w:rsidRDefault="003206E0" w:rsidP="003206E0">
      <w:pPr>
        <w:pStyle w:val="Odstavecseseznamem"/>
        <w:numPr>
          <w:ilvl w:val="0"/>
          <w:numId w:val="3"/>
        </w:numPr>
      </w:pPr>
      <w:r w:rsidRPr="003206E0">
        <w:t xml:space="preserve">pro typ výsledku </w:t>
      </w:r>
      <w:proofErr w:type="spellStart"/>
      <w:r w:rsidRPr="003206E0">
        <w:t>N</w:t>
      </w:r>
      <w:r w:rsidRPr="003206E0">
        <w:rPr>
          <w:vertAlign w:val="subscript"/>
        </w:rPr>
        <w:t>metS</w:t>
      </w:r>
      <w:proofErr w:type="spellEnd"/>
      <w:r w:rsidRPr="003206E0">
        <w:t xml:space="preserve"> - </w:t>
      </w:r>
      <w:r w:rsidRPr="00EF6A81">
        <w:rPr>
          <w:b/>
        </w:rPr>
        <w:t xml:space="preserve">Formulář </w:t>
      </w:r>
      <w:r w:rsidR="00EF6A81" w:rsidRPr="00EF6A81">
        <w:rPr>
          <w:b/>
        </w:rPr>
        <w:t xml:space="preserve">pro druh výsledku </w:t>
      </w:r>
      <w:proofErr w:type="spellStart"/>
      <w:r w:rsidR="00EF6A81" w:rsidRPr="00EF6A81">
        <w:rPr>
          <w:b/>
        </w:rPr>
        <w:t>NmetS</w:t>
      </w:r>
      <w:proofErr w:type="spellEnd"/>
      <w:r w:rsidR="00AD0BCF" w:rsidRPr="00EF6A81">
        <w:rPr>
          <w:b/>
        </w:rPr>
        <w:t xml:space="preserve"> </w:t>
      </w:r>
      <w:r w:rsidR="00EF6A81" w:rsidRPr="00EF6A81">
        <w:rPr>
          <w:b/>
        </w:rPr>
        <w:t>MD nebo Ostatní</w:t>
      </w:r>
    </w:p>
    <w:p w:rsidR="00EF6A81" w:rsidRDefault="003206E0" w:rsidP="00EF6A81">
      <w:pPr>
        <w:pStyle w:val="Odstavecseseznamem"/>
        <w:numPr>
          <w:ilvl w:val="0"/>
          <w:numId w:val="3"/>
        </w:numPr>
      </w:pPr>
      <w:r w:rsidRPr="003206E0">
        <w:t xml:space="preserve">pro typ výsledku </w:t>
      </w:r>
      <w:r w:rsidRPr="00EF6A81">
        <w:rPr>
          <w:b/>
        </w:rPr>
        <w:t>P – Patentová rešerše</w:t>
      </w:r>
    </w:p>
    <w:p w:rsidR="00EF6A81" w:rsidRDefault="00EF6A81" w:rsidP="00EF6A81">
      <w:pPr>
        <w:pStyle w:val="Odstavecseseznamem"/>
        <w:numPr>
          <w:ilvl w:val="0"/>
          <w:numId w:val="3"/>
        </w:numPr>
      </w:pPr>
      <w:r>
        <w:t xml:space="preserve">Za každého externího </w:t>
      </w:r>
      <w:r w:rsidRPr="00EF6A81">
        <w:rPr>
          <w:b/>
        </w:rPr>
        <w:t>aplikačního garanta</w:t>
      </w:r>
      <w:r>
        <w:t xml:space="preserve"> musí uchazeči přiložit povinnou přílohu, která prokáže zájem aplikačního garanta o výstupy/výsledky návrhu projektu. Tato příloha může mít formu např. </w:t>
      </w:r>
      <w:proofErr w:type="spellStart"/>
      <w:r>
        <w:t>Letter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Intent</w:t>
      </w:r>
      <w:proofErr w:type="spellEnd"/>
      <w:r>
        <w:t xml:space="preserve"> (dopis o záměru), smlouva o využití výsledků, smlouva o smlouvě budoucí, memorandum. </w:t>
      </w:r>
    </w:p>
    <w:p w:rsidR="00EF6A81" w:rsidRDefault="00EF6A81" w:rsidP="00EF6A81">
      <w:pPr>
        <w:ind w:left="360"/>
      </w:pPr>
      <w:r>
        <w:t>Příloha musí obsahovat minimálně následující náležitosti:</w:t>
      </w:r>
    </w:p>
    <w:p w:rsidR="00EF6A81" w:rsidRDefault="00EF6A81" w:rsidP="00EF6A81">
      <w:pPr>
        <w:pStyle w:val="Odstavecseseznamem"/>
        <w:numPr>
          <w:ilvl w:val="0"/>
          <w:numId w:val="25"/>
        </w:numPr>
      </w:pPr>
      <w:r w:rsidRPr="00EF6A81">
        <w:rPr>
          <w:b/>
        </w:rPr>
        <w:t>identifikace organizace</w:t>
      </w:r>
      <w:r>
        <w:t xml:space="preserve"> plnící roli externího aplikačního garanta a jméno odpovědné osoby, která bude aplikační garanci prakticky plnit;</w:t>
      </w:r>
    </w:p>
    <w:p w:rsidR="00EF6A81" w:rsidRDefault="00EF6A81" w:rsidP="00EF6A81">
      <w:pPr>
        <w:pStyle w:val="Odstavecseseznamem"/>
        <w:numPr>
          <w:ilvl w:val="0"/>
          <w:numId w:val="25"/>
        </w:numPr>
      </w:pPr>
      <w:r w:rsidRPr="00EF6A81">
        <w:rPr>
          <w:b/>
        </w:rPr>
        <w:t>způsob a míra zapojení</w:t>
      </w:r>
      <w:r>
        <w:t xml:space="preserve"> externího aplikačního garanta ve vazbě na řešení projektu, resp. na tvorbu hlavního výstupu/výsledku projektu (tato skutečnost musí být popsána v povinné příloze a/nebo v kapitole 3. Představení projektu pole Komentář k aplikačnímu garantovi v elektronickém návrhu projektu); </w:t>
      </w:r>
    </w:p>
    <w:p w:rsidR="00EF6A81" w:rsidRDefault="00EF6A81" w:rsidP="00EF6A81">
      <w:pPr>
        <w:pStyle w:val="Odstavecseseznamem"/>
        <w:numPr>
          <w:ilvl w:val="0"/>
          <w:numId w:val="25"/>
        </w:numPr>
      </w:pPr>
      <w:r w:rsidRPr="00EF6A81">
        <w:rPr>
          <w:b/>
        </w:rPr>
        <w:t>deklarace</w:t>
      </w:r>
      <w:r>
        <w:t xml:space="preserve"> vůle využívat hlavní výstup/výsledek projektu; </w:t>
      </w:r>
    </w:p>
    <w:p w:rsidR="00EF6A81" w:rsidRDefault="00EF6A81" w:rsidP="00EF6A81">
      <w:pPr>
        <w:pStyle w:val="Odstavecseseznamem"/>
        <w:numPr>
          <w:ilvl w:val="0"/>
          <w:numId w:val="25"/>
        </w:numPr>
      </w:pPr>
      <w:r w:rsidRPr="00EF6A81">
        <w:rPr>
          <w:b/>
        </w:rPr>
        <w:t>popis</w:t>
      </w:r>
      <w:r>
        <w:t xml:space="preserve"> způsobu a účelu využití hlavního výstupu/výsledku projektu;</w:t>
      </w:r>
    </w:p>
    <w:p w:rsidR="002D1982" w:rsidRDefault="00EF6A81" w:rsidP="00EF6A81">
      <w:pPr>
        <w:pStyle w:val="Odstavecseseznamem"/>
        <w:numPr>
          <w:ilvl w:val="0"/>
          <w:numId w:val="25"/>
        </w:numPr>
      </w:pPr>
      <w:r w:rsidRPr="00EF6A81">
        <w:rPr>
          <w:b/>
        </w:rPr>
        <w:t>datum a podpis</w:t>
      </w:r>
      <w:r>
        <w:t xml:space="preserve"> zástupce aplikačního garanta.</w:t>
      </w:r>
    </w:p>
    <w:p w:rsidR="000900A1" w:rsidRDefault="000900A1" w:rsidP="000900A1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Hodnocení:</w:t>
      </w:r>
    </w:p>
    <w:p w:rsidR="000900A1" w:rsidRDefault="000900A1" w:rsidP="000900A1">
      <w:r>
        <w:t>Hodnocení je složeno z 3 binárních kritérií</w:t>
      </w:r>
      <w:r w:rsidR="00F91206">
        <w:t xml:space="preserve"> a</w:t>
      </w:r>
      <w:r>
        <w:t xml:space="preserve"> 9 bodovaných kritérií. Bližší informace k hodnotícímu procesu jsou uvedeny ve speciální </w:t>
      </w:r>
      <w:hyperlink r:id="rId12" w:history="1">
        <w:r w:rsidRPr="000900A1">
          <w:rPr>
            <w:rStyle w:val="Hypertextovodkaz"/>
          </w:rPr>
          <w:t xml:space="preserve">příloze č. </w:t>
        </w:r>
        <w:r w:rsidR="00AA5CA4">
          <w:rPr>
            <w:rStyle w:val="Hypertextovodkaz"/>
          </w:rPr>
          <w:t>1</w:t>
        </w:r>
        <w:r w:rsidRPr="000900A1">
          <w:rPr>
            <w:rStyle w:val="Hypertextovodkaz"/>
          </w:rPr>
          <w:t xml:space="preserve"> k zadávací dokumentaci</w:t>
        </w:r>
      </w:hyperlink>
      <w:r>
        <w:t>.</w:t>
      </w:r>
    </w:p>
    <w:p w:rsidR="00BC37C0" w:rsidRDefault="00BC37C0" w:rsidP="000900A1"/>
    <w:p w:rsidR="00BC37C0" w:rsidRPr="003206E0" w:rsidRDefault="00BC37C0" w:rsidP="000900A1"/>
    <w:sectPr w:rsidR="00BC37C0" w:rsidRPr="00320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C1B"/>
    <w:multiLevelType w:val="hybridMultilevel"/>
    <w:tmpl w:val="09BCF59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395E"/>
    <w:multiLevelType w:val="hybridMultilevel"/>
    <w:tmpl w:val="483EFD4A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CAD6024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55E34"/>
    <w:multiLevelType w:val="hybridMultilevel"/>
    <w:tmpl w:val="73A2A04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076FD"/>
    <w:multiLevelType w:val="hybridMultilevel"/>
    <w:tmpl w:val="B897EC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2EF7C5F"/>
    <w:multiLevelType w:val="hybridMultilevel"/>
    <w:tmpl w:val="173C96F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42490"/>
    <w:multiLevelType w:val="hybridMultilevel"/>
    <w:tmpl w:val="E750A156"/>
    <w:lvl w:ilvl="0" w:tplc="AE1AB2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877C36"/>
    <w:multiLevelType w:val="hybridMultilevel"/>
    <w:tmpl w:val="F5403972"/>
    <w:lvl w:ilvl="0" w:tplc="C23C2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C1C2B"/>
    <w:multiLevelType w:val="hybridMultilevel"/>
    <w:tmpl w:val="8BC8F5A8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1637C"/>
    <w:multiLevelType w:val="hybridMultilevel"/>
    <w:tmpl w:val="B53EB124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86BF9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0A23"/>
    <w:multiLevelType w:val="hybridMultilevel"/>
    <w:tmpl w:val="25963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10D01"/>
    <w:multiLevelType w:val="hybridMultilevel"/>
    <w:tmpl w:val="3E88531C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41EFF"/>
    <w:multiLevelType w:val="hybridMultilevel"/>
    <w:tmpl w:val="A37C5E3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4FB1"/>
    <w:multiLevelType w:val="multilevel"/>
    <w:tmpl w:val="FB8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B9288E"/>
    <w:multiLevelType w:val="hybridMultilevel"/>
    <w:tmpl w:val="215895E8"/>
    <w:lvl w:ilvl="0" w:tplc="AE1AB2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1D3640"/>
    <w:multiLevelType w:val="hybridMultilevel"/>
    <w:tmpl w:val="D3446A8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A61D2"/>
    <w:multiLevelType w:val="hybridMultilevel"/>
    <w:tmpl w:val="E9FE613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23F6B"/>
    <w:multiLevelType w:val="hybridMultilevel"/>
    <w:tmpl w:val="692084D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2E6507"/>
    <w:multiLevelType w:val="hybridMultilevel"/>
    <w:tmpl w:val="02CCC3C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A005B"/>
    <w:multiLevelType w:val="hybridMultilevel"/>
    <w:tmpl w:val="E452D1AE"/>
    <w:lvl w:ilvl="0" w:tplc="BCD4A00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0398C"/>
    <w:multiLevelType w:val="hybridMultilevel"/>
    <w:tmpl w:val="EBA6DF8E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02E91"/>
    <w:multiLevelType w:val="hybridMultilevel"/>
    <w:tmpl w:val="4E28AA0A"/>
    <w:lvl w:ilvl="0" w:tplc="D9587E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7C11"/>
    <w:multiLevelType w:val="hybridMultilevel"/>
    <w:tmpl w:val="C352B5E2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7"/>
  </w:num>
  <w:num w:numId="5">
    <w:abstractNumId w:val="9"/>
  </w:num>
  <w:num w:numId="6">
    <w:abstractNumId w:val="13"/>
  </w:num>
  <w:num w:numId="7">
    <w:abstractNumId w:val="25"/>
  </w:num>
  <w:num w:numId="8">
    <w:abstractNumId w:val="10"/>
  </w:num>
  <w:num w:numId="9">
    <w:abstractNumId w:val="15"/>
  </w:num>
  <w:num w:numId="10">
    <w:abstractNumId w:val="4"/>
  </w:num>
  <w:num w:numId="11">
    <w:abstractNumId w:val="22"/>
  </w:num>
  <w:num w:numId="12">
    <w:abstractNumId w:val="2"/>
  </w:num>
  <w:num w:numId="13">
    <w:abstractNumId w:val="26"/>
  </w:num>
  <w:num w:numId="14">
    <w:abstractNumId w:val="5"/>
  </w:num>
  <w:num w:numId="15">
    <w:abstractNumId w:val="19"/>
  </w:num>
  <w:num w:numId="16">
    <w:abstractNumId w:val="0"/>
  </w:num>
  <w:num w:numId="17">
    <w:abstractNumId w:val="23"/>
  </w:num>
  <w:num w:numId="18">
    <w:abstractNumId w:val="17"/>
  </w:num>
  <w:num w:numId="19">
    <w:abstractNumId w:val="21"/>
  </w:num>
  <w:num w:numId="20">
    <w:abstractNumId w:val="24"/>
  </w:num>
  <w:num w:numId="21">
    <w:abstractNumId w:val="14"/>
  </w:num>
  <w:num w:numId="22">
    <w:abstractNumId w:val="1"/>
  </w:num>
  <w:num w:numId="23">
    <w:abstractNumId w:val="11"/>
  </w:num>
  <w:num w:numId="24">
    <w:abstractNumId w:val="6"/>
  </w:num>
  <w:num w:numId="25">
    <w:abstractNumId w:val="18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531D0"/>
    <w:rsid w:val="000900A1"/>
    <w:rsid w:val="001A5AB0"/>
    <w:rsid w:val="002425FA"/>
    <w:rsid w:val="00294F2E"/>
    <w:rsid w:val="002D1982"/>
    <w:rsid w:val="003206E0"/>
    <w:rsid w:val="004B4BE3"/>
    <w:rsid w:val="004E2A66"/>
    <w:rsid w:val="004E78D3"/>
    <w:rsid w:val="00560F2B"/>
    <w:rsid w:val="00563DF1"/>
    <w:rsid w:val="0057770F"/>
    <w:rsid w:val="005E71F4"/>
    <w:rsid w:val="005F4E49"/>
    <w:rsid w:val="00686E27"/>
    <w:rsid w:val="006A5CBC"/>
    <w:rsid w:val="00760FE8"/>
    <w:rsid w:val="007628A7"/>
    <w:rsid w:val="007C2781"/>
    <w:rsid w:val="007C2B79"/>
    <w:rsid w:val="007E14F2"/>
    <w:rsid w:val="007E344D"/>
    <w:rsid w:val="00837080"/>
    <w:rsid w:val="00850853"/>
    <w:rsid w:val="00894BEB"/>
    <w:rsid w:val="008C5A66"/>
    <w:rsid w:val="008D7D7B"/>
    <w:rsid w:val="00997D15"/>
    <w:rsid w:val="009D52CC"/>
    <w:rsid w:val="009D66C6"/>
    <w:rsid w:val="00A128BE"/>
    <w:rsid w:val="00AA5CA4"/>
    <w:rsid w:val="00AD0BCF"/>
    <w:rsid w:val="00AF3498"/>
    <w:rsid w:val="00B54965"/>
    <w:rsid w:val="00BC37C0"/>
    <w:rsid w:val="00C10D9F"/>
    <w:rsid w:val="00C4569A"/>
    <w:rsid w:val="00C804E7"/>
    <w:rsid w:val="00CA65B4"/>
    <w:rsid w:val="00CC39C8"/>
    <w:rsid w:val="00D658FB"/>
    <w:rsid w:val="00D66035"/>
    <w:rsid w:val="00D8236C"/>
    <w:rsid w:val="00DC372A"/>
    <w:rsid w:val="00DD097B"/>
    <w:rsid w:val="00EB3EF0"/>
    <w:rsid w:val="00EF6A81"/>
    <w:rsid w:val="00F148C0"/>
    <w:rsid w:val="00F86FE1"/>
    <w:rsid w:val="00F91206"/>
    <w:rsid w:val="00FE3CFC"/>
    <w:rsid w:val="00F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F349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C3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program-doprava-2020-vyhlaseni-4-verejne-soutez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12" Type="http://schemas.openxmlformats.org/officeDocument/2006/relationships/hyperlink" Target="https://www.tacr.cz/wp-content/uploads/documents/2022/04/04/1649074780_P%C5%99%C3%ADloha%20%C4%8D.%201%20Zad%C3%A1vac%C3%AD%20dokumentace%20-%20hodnotic%C3%AD%20proces%20(DOPRAVA%202020+,%204.%20VS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ista.tacr.cz/ISTA/action/Dashboard/ExternalNew/?actionId=4396311232625115&amp;ts=1618409983006&amp;hash=b+/wcP7Y8IGU1RkRhz37cXn5Y/ub2EB46M5pPdMyoEc=&amp;nbl=true&amp;uselastresult=true&amp;_browserSessionID=&amp;lang" TargetMode="External"/><Relationship Id="rId5" Type="http://schemas.openxmlformats.org/officeDocument/2006/relationships/hyperlink" Target="mailto:legatova@vutbr.cz" TargetMode="External"/><Relationship Id="rId10" Type="http://schemas.openxmlformats.org/officeDocument/2006/relationships/hyperlink" Target="https://www.tacr.cz/wp-content/uploads/documents/2022/04/04/1649074896_Aplika%C4%8Dn%C3%AD%20garan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acr.cz/wp-content/uploads/documents/2022/04/04/1649074896_Aplika%C4%8Dn%C3%AD%20gara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1496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Vavrečková Eva (233793)</cp:lastModifiedBy>
  <cp:revision>2</cp:revision>
  <dcterms:created xsi:type="dcterms:W3CDTF">2022-04-09T10:15:00Z</dcterms:created>
  <dcterms:modified xsi:type="dcterms:W3CDTF">2022-04-09T10:15:00Z</dcterms:modified>
</cp:coreProperties>
</file>