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44" w:rsidRPr="005F4E49" w:rsidRDefault="00A72B7D" w:rsidP="005F4E49">
      <w:pPr>
        <w:ind w:left="360"/>
        <w:rPr>
          <w:rStyle w:val="subheading-category1"/>
          <w:b/>
          <w:caps w:val="0"/>
          <w:color w:val="2F5496" w:themeColor="accent5" w:themeShade="BF"/>
          <w:sz w:val="32"/>
          <w:szCs w:val="32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2</w:t>
      </w:r>
      <w:r w:rsid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. </w:t>
      </w:r>
      <w:r w:rsidR="0057770F" w:rsidRP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veřejná soutěž</w:t>
      </w:r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:</w:t>
      </w:r>
      <w:r w:rsidR="0057770F" w:rsidRP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 </w:t>
      </w:r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P</w:t>
      </w:r>
      <w:r w:rsidR="0057770F" w:rsidRP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rogram </w:t>
      </w:r>
      <w:r w:rsidR="00E16007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Národní centra kompetence</w:t>
      </w:r>
    </w:p>
    <w:p w:rsidR="0057770F" w:rsidRDefault="0057770F" w:rsidP="0057770F"/>
    <w:p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57770F" w:rsidRDefault="0057770F" w:rsidP="007C2781">
      <w:pPr>
        <w:spacing w:line="240" w:lineRule="auto"/>
        <w:rPr>
          <w:b/>
        </w:rPr>
      </w:pPr>
      <w:r>
        <w:t xml:space="preserve">Soutěžní lhůta začíná: </w:t>
      </w:r>
      <w:r w:rsidR="007628A7" w:rsidRPr="007628A7">
        <w:rPr>
          <w:b/>
        </w:rPr>
        <w:t>1</w:t>
      </w:r>
      <w:r w:rsidR="00EB56DC">
        <w:rPr>
          <w:b/>
        </w:rPr>
        <w:t>6</w:t>
      </w:r>
      <w:r w:rsidR="005F4E49" w:rsidRPr="007628A7">
        <w:rPr>
          <w:b/>
        </w:rPr>
        <w:t>.</w:t>
      </w:r>
      <w:r w:rsidR="00EB56DC">
        <w:rPr>
          <w:b/>
        </w:rPr>
        <w:t>12.2021</w:t>
      </w:r>
    </w:p>
    <w:p w:rsidR="0057770F" w:rsidRDefault="0057770F" w:rsidP="007C2781">
      <w:pPr>
        <w:spacing w:line="240" w:lineRule="auto"/>
      </w:pPr>
      <w:r>
        <w:t xml:space="preserve">Soutěžní lhůta končí: </w:t>
      </w:r>
      <w:r w:rsidR="00EB56DC">
        <w:rPr>
          <w:b/>
        </w:rPr>
        <w:t>6. 4 2022</w:t>
      </w:r>
      <w:r>
        <w:t xml:space="preserve"> do 1</w:t>
      </w:r>
      <w:r w:rsidR="00CC39C8">
        <w:t>6</w:t>
      </w:r>
      <w:r>
        <w:t>.</w:t>
      </w:r>
      <w:r w:rsidR="00EB56DC">
        <w:t>29</w:t>
      </w:r>
      <w:r>
        <w:t xml:space="preserve"> pro podání projektu; </w:t>
      </w:r>
    </w:p>
    <w:p w:rsidR="0057770F" w:rsidRPr="007628A7" w:rsidRDefault="0057770F" w:rsidP="0002273D">
      <w:pPr>
        <w:spacing w:line="240" w:lineRule="auto"/>
        <w:ind w:left="2937"/>
        <w:rPr>
          <w:b/>
        </w:rPr>
      </w:pPr>
      <w:r>
        <w:t>do 23.59 pro zaslání Potvrzení podání elektronického návrhu</w:t>
      </w:r>
      <w:r w:rsidR="00760FE8">
        <w:t>, v datovém poli Věc musí být uvedeno: „</w:t>
      </w:r>
      <w:r w:rsidR="0002273D">
        <w:t>Program Národní centra kompetence – Potvrzení podán</w:t>
      </w:r>
      <w:r w:rsidR="00760FE8">
        <w:t>“</w:t>
      </w:r>
      <w:r w:rsidR="007628A7">
        <w:t xml:space="preserve">, </w:t>
      </w:r>
      <w:r w:rsidR="007628A7" w:rsidRPr="007628A7">
        <w:t xml:space="preserve">ID datové schránky TA ČR: </w:t>
      </w:r>
      <w:r w:rsidR="007628A7" w:rsidRPr="007628A7">
        <w:rPr>
          <w:b/>
        </w:rPr>
        <w:t>afth9xp</w:t>
      </w:r>
    </w:p>
    <w:p w:rsidR="00894BEB" w:rsidRDefault="00894BEB" w:rsidP="007C2781">
      <w:pPr>
        <w:spacing w:line="240" w:lineRule="auto"/>
        <w:rPr>
          <w:b/>
        </w:rPr>
      </w:pPr>
      <w:r w:rsidRPr="00894BEB">
        <w:t>Vyhlášení výsledků soutěže:</w:t>
      </w:r>
      <w:r>
        <w:rPr>
          <w:b/>
        </w:rPr>
        <w:t xml:space="preserve"> do </w:t>
      </w:r>
      <w:r w:rsidR="006A5CBC">
        <w:rPr>
          <w:b/>
        </w:rPr>
        <w:t>30</w:t>
      </w:r>
      <w:r w:rsidR="00AF3498">
        <w:rPr>
          <w:b/>
        </w:rPr>
        <w:t>. 11. 202</w:t>
      </w:r>
      <w:r w:rsidR="00EB56DC">
        <w:rPr>
          <w:b/>
        </w:rPr>
        <w:t>2</w:t>
      </w:r>
    </w:p>
    <w:p w:rsidR="00894BEB" w:rsidRPr="0041403E" w:rsidRDefault="00894BEB" w:rsidP="007C2781">
      <w:pPr>
        <w:spacing w:line="240" w:lineRule="auto"/>
        <w:rPr>
          <w:b/>
        </w:rPr>
      </w:pPr>
      <w:r w:rsidRPr="0041403E">
        <w:t>Zahájení řešení projektu:</w:t>
      </w:r>
      <w:r w:rsidRPr="0041403E">
        <w:rPr>
          <w:b/>
        </w:rPr>
        <w:t xml:space="preserve"> </w:t>
      </w:r>
      <w:r w:rsidR="00AF3498" w:rsidRPr="0041403E">
        <w:rPr>
          <w:b/>
        </w:rPr>
        <w:t>1. 1. 202</w:t>
      </w:r>
      <w:r w:rsidR="0041403E" w:rsidRPr="0041403E">
        <w:rPr>
          <w:b/>
        </w:rPr>
        <w:t>3</w:t>
      </w:r>
      <w:r w:rsidR="00AF3498" w:rsidRPr="0041403E">
        <w:rPr>
          <w:b/>
        </w:rPr>
        <w:t xml:space="preserve"> </w:t>
      </w:r>
    </w:p>
    <w:p w:rsidR="00894BEB" w:rsidRDefault="00894BEB" w:rsidP="007C2781">
      <w:pPr>
        <w:spacing w:line="240" w:lineRule="auto"/>
        <w:rPr>
          <w:b/>
        </w:rPr>
      </w:pPr>
      <w:r w:rsidRPr="0041403E">
        <w:t>Délka řešení projektu:</w:t>
      </w:r>
      <w:r w:rsidRPr="0041403E">
        <w:rPr>
          <w:b/>
        </w:rPr>
        <w:t xml:space="preserve"> </w:t>
      </w:r>
      <w:r w:rsidR="0041403E" w:rsidRPr="0041403E">
        <w:rPr>
          <w:b/>
        </w:rPr>
        <w:t>48 - 72</w:t>
      </w:r>
      <w:r w:rsidRPr="0041403E">
        <w:rPr>
          <w:b/>
        </w:rPr>
        <w:t xml:space="preserve"> měsíců</w:t>
      </w:r>
    </w:p>
    <w:p w:rsidR="0041403E" w:rsidRPr="0041403E" w:rsidRDefault="0041403E" w:rsidP="007C2781">
      <w:pPr>
        <w:spacing w:line="240" w:lineRule="auto"/>
        <w:rPr>
          <w:b/>
        </w:rPr>
      </w:pPr>
      <w:r w:rsidRPr="0041403E">
        <w:t>Nejzazší termín ukončení projektu:</w:t>
      </w:r>
      <w:r>
        <w:rPr>
          <w:b/>
        </w:rPr>
        <w:t xml:space="preserve"> prosinec 2028</w:t>
      </w:r>
    </w:p>
    <w:p w:rsidR="0057770F" w:rsidRDefault="0057770F" w:rsidP="0057770F">
      <w:pPr>
        <w:rPr>
          <w:b/>
        </w:rPr>
      </w:pPr>
    </w:p>
    <w:p w:rsidR="005E71F4" w:rsidRPr="008F2375" w:rsidRDefault="005E71F4" w:rsidP="005E71F4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Kontaktní osoby:</w:t>
      </w:r>
    </w:p>
    <w:p w:rsidR="005E71F4" w:rsidRDefault="005E71F4" w:rsidP="005E71F4">
      <w:pPr>
        <w:rPr>
          <w:b/>
        </w:rPr>
      </w:pPr>
      <w:r>
        <w:rPr>
          <w:b/>
        </w:rPr>
        <w:t>Soutěž TAČR na VUT Brno – Ing. Martina Legátová (</w:t>
      </w:r>
      <w:hyperlink r:id="rId5" w:history="1">
        <w:r w:rsidR="000531D0" w:rsidRPr="002F7795">
          <w:rPr>
            <w:rStyle w:val="Hypertextovodkaz"/>
            <w:b/>
          </w:rPr>
          <w:t>legatova@vutbr.cz</w:t>
        </w:r>
      </w:hyperlink>
      <w:r>
        <w:rPr>
          <w:b/>
        </w:rPr>
        <w:t>, kl. 5237)</w:t>
      </w:r>
    </w:p>
    <w:p w:rsidR="005E71F4" w:rsidRDefault="005E71F4" w:rsidP="005E71F4">
      <w:pPr>
        <w:rPr>
          <w:b/>
        </w:rPr>
      </w:pPr>
      <w:r>
        <w:rPr>
          <w:b/>
        </w:rPr>
        <w:t xml:space="preserve">Duševní vlastnictví, konzultace smlouvy mezi </w:t>
      </w:r>
      <w:proofErr w:type="gramStart"/>
      <w:r>
        <w:rPr>
          <w:b/>
        </w:rPr>
        <w:t>uchazeči,– OTT</w:t>
      </w:r>
      <w:proofErr w:type="gramEnd"/>
      <w:r>
        <w:rPr>
          <w:b/>
        </w:rPr>
        <w:t xml:space="preserve"> – </w:t>
      </w:r>
      <w:r w:rsidR="00EB56DC">
        <w:rPr>
          <w:b/>
        </w:rPr>
        <w:t xml:space="preserve">Mgr. Michaela Daňková </w:t>
      </w:r>
      <w:r>
        <w:rPr>
          <w:b/>
        </w:rPr>
        <w:t xml:space="preserve"> (</w:t>
      </w:r>
      <w:hyperlink r:id="rId6" w:history="1">
        <w:r w:rsidR="00EB56DC" w:rsidRPr="00527808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EB56DC">
        <w:rPr>
          <w:b/>
        </w:rPr>
        <w:t>8</w:t>
      </w:r>
      <w:r>
        <w:rPr>
          <w:b/>
        </w:rPr>
        <w:t>)</w:t>
      </w:r>
    </w:p>
    <w:p w:rsidR="005E71F4" w:rsidRDefault="005E71F4" w:rsidP="005E71F4">
      <w:pPr>
        <w:rPr>
          <w:b/>
        </w:rPr>
      </w:pPr>
      <w:r>
        <w:rPr>
          <w:b/>
        </w:rPr>
        <w:t>Otázka DPH v projektech TAČR – Ing. Romana Sasková (</w:t>
      </w:r>
      <w:hyperlink r:id="rId7" w:history="1">
        <w:r w:rsidR="000531D0" w:rsidRPr="002F7795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E71F4" w:rsidRDefault="005E71F4" w:rsidP="005E71F4">
      <w:pPr>
        <w:rPr>
          <w:b/>
        </w:rPr>
      </w:pPr>
      <w:r>
        <w:rPr>
          <w:b/>
        </w:rPr>
        <w:t xml:space="preserve">Zadání do APOLLA pod programem financování: </w:t>
      </w:r>
      <w:r w:rsidR="00EB56DC">
        <w:rPr>
          <w:b/>
        </w:rPr>
        <w:t>TN020</w:t>
      </w:r>
    </w:p>
    <w:p w:rsidR="005E71F4" w:rsidRDefault="005E71F4" w:rsidP="0057770F">
      <w:pPr>
        <w:rPr>
          <w:b/>
        </w:rPr>
      </w:pPr>
    </w:p>
    <w:p w:rsidR="00C10D9F" w:rsidRPr="005E71F4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Odkaz na soutěž:</w:t>
      </w:r>
    </w:p>
    <w:p w:rsidR="00AF3498" w:rsidRDefault="00E93732" w:rsidP="0057770F">
      <w:pPr>
        <w:rPr>
          <w:b/>
        </w:rPr>
      </w:pPr>
      <w:hyperlink r:id="rId8" w:history="1">
        <w:r w:rsidR="00EB56DC" w:rsidRPr="00527808">
          <w:rPr>
            <w:rStyle w:val="Hypertextovodkaz"/>
            <w:b/>
          </w:rPr>
          <w:t>https://www.tacr.cz/soutez/program-narodni-centra-kompetence/druha-verejna-soutez-6/</w:t>
        </w:r>
      </w:hyperlink>
      <w:r w:rsidR="00EB56DC">
        <w:rPr>
          <w:b/>
        </w:rPr>
        <w:t xml:space="preserve"> </w:t>
      </w:r>
    </w:p>
    <w:p w:rsidR="00760FE8" w:rsidRDefault="00760FE8" w:rsidP="0057770F">
      <w:pPr>
        <w:rPr>
          <w:b/>
          <w:color w:val="1F4E79" w:themeColor="accent1" w:themeShade="80"/>
          <w:sz w:val="28"/>
          <w:szCs w:val="28"/>
        </w:rPr>
      </w:pPr>
    </w:p>
    <w:p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Uchazeči:</w:t>
      </w:r>
    </w:p>
    <w:p w:rsidR="00EB56DC" w:rsidRDefault="00EB56DC" w:rsidP="00EB56DC">
      <w:r>
        <w:t>Každý uchazeč (hlavní uchazeč, další účastníci) musí pro určení maximální intenzity podpory zvolit</w:t>
      </w:r>
    </w:p>
    <w:p w:rsidR="00EB56DC" w:rsidRDefault="00EB56DC" w:rsidP="00EB56DC">
      <w:r>
        <w:t>jeden z následujících typů uchazeče:</w:t>
      </w:r>
    </w:p>
    <w:p w:rsidR="00EB56DC" w:rsidRDefault="00EB56DC" w:rsidP="00EB56DC">
      <w:pPr>
        <w:pStyle w:val="Odstavecseseznamem"/>
        <w:numPr>
          <w:ilvl w:val="0"/>
          <w:numId w:val="20"/>
        </w:numPr>
      </w:pPr>
      <w:r>
        <w:t>Výzkumná organizace</w:t>
      </w:r>
    </w:p>
    <w:p w:rsidR="00EB56DC" w:rsidRDefault="00EB56DC" w:rsidP="00EB56DC">
      <w:pPr>
        <w:pStyle w:val="Odstavecseseznamem"/>
        <w:numPr>
          <w:ilvl w:val="0"/>
          <w:numId w:val="23"/>
        </w:numPr>
        <w:ind w:left="1560"/>
      </w:pPr>
      <w:r>
        <w:t>musí být vždy hlavním uchazečem;</w:t>
      </w:r>
    </w:p>
    <w:p w:rsidR="00EB56DC" w:rsidRDefault="00EB56DC" w:rsidP="00EB56DC">
      <w:pPr>
        <w:pStyle w:val="Odstavecseseznamem"/>
        <w:numPr>
          <w:ilvl w:val="0"/>
          <w:numId w:val="23"/>
        </w:numPr>
        <w:ind w:left="1560"/>
      </w:pPr>
      <w:r>
        <w:t>může být i v roli dalšího účastníka.</w:t>
      </w:r>
    </w:p>
    <w:p w:rsidR="00EB56DC" w:rsidRDefault="00EB56DC" w:rsidP="00EB56DC">
      <w:pPr>
        <w:pStyle w:val="Odstavecseseznamem"/>
        <w:numPr>
          <w:ilvl w:val="0"/>
          <w:numId w:val="20"/>
        </w:numPr>
      </w:pPr>
      <w:r>
        <w:t>Podnik</w:t>
      </w:r>
    </w:p>
    <w:p w:rsidR="00EB56DC" w:rsidRDefault="00EB56DC" w:rsidP="00EB56DC">
      <w:pPr>
        <w:pStyle w:val="Odstavecseseznamem"/>
        <w:numPr>
          <w:ilvl w:val="0"/>
          <w:numId w:val="25"/>
        </w:numPr>
        <w:tabs>
          <w:tab w:val="left" w:pos="1134"/>
        </w:tabs>
        <w:ind w:left="1560"/>
      </w:pPr>
      <w:r>
        <w:t>- musí být minimálně pět subjektů typu malý nebo střední podnik;</w:t>
      </w:r>
    </w:p>
    <w:p w:rsidR="00686E27" w:rsidRDefault="00EB56DC" w:rsidP="00EB56DC">
      <w:pPr>
        <w:pStyle w:val="Odstavecseseznamem"/>
        <w:numPr>
          <w:ilvl w:val="0"/>
          <w:numId w:val="25"/>
        </w:numPr>
        <w:tabs>
          <w:tab w:val="left" w:pos="1134"/>
        </w:tabs>
        <w:ind w:left="1560"/>
      </w:pPr>
      <w:r>
        <w:t>- musí být v roli dalšího účastníka.</w:t>
      </w:r>
    </w:p>
    <w:p w:rsidR="0041403E" w:rsidRPr="0041403E" w:rsidRDefault="0041403E" w:rsidP="0041403E">
      <w:pPr>
        <w:ind w:left="426"/>
        <w:rPr>
          <w:b/>
        </w:rPr>
      </w:pPr>
      <w:r w:rsidRPr="0041403E">
        <w:rPr>
          <w:b/>
        </w:rPr>
        <w:t xml:space="preserve">Hlavní uchazeč: </w:t>
      </w:r>
    </w:p>
    <w:p w:rsidR="0041403E" w:rsidRPr="0041403E" w:rsidRDefault="0041403E" w:rsidP="0041403E">
      <w:pPr>
        <w:pStyle w:val="Odstavecseseznamem"/>
        <w:numPr>
          <w:ilvl w:val="0"/>
          <w:numId w:val="20"/>
        </w:numPr>
        <w:rPr>
          <w:b/>
          <w:color w:val="1F4E79" w:themeColor="accent1" w:themeShade="80"/>
          <w:sz w:val="28"/>
          <w:szCs w:val="28"/>
        </w:rPr>
      </w:pPr>
      <w:r>
        <w:lastRenderedPageBreak/>
        <w:t xml:space="preserve">může být pouze výzkumná organizace, která má sídlo, provozovnu nebo pobočku v České republice; </w:t>
      </w:r>
    </w:p>
    <w:p w:rsidR="0041403E" w:rsidRPr="0041403E" w:rsidRDefault="0041403E" w:rsidP="0041403E">
      <w:pPr>
        <w:pStyle w:val="Odstavecseseznamem"/>
        <w:numPr>
          <w:ilvl w:val="0"/>
          <w:numId w:val="20"/>
        </w:numPr>
        <w:rPr>
          <w:b/>
          <w:color w:val="1F4E79" w:themeColor="accent1" w:themeShade="80"/>
          <w:sz w:val="28"/>
          <w:szCs w:val="28"/>
        </w:rPr>
      </w:pPr>
      <w:r>
        <w:t xml:space="preserve">musí projekt řešit minimálně s pěti dalšími účastníky; </w:t>
      </w:r>
    </w:p>
    <w:p w:rsidR="0041403E" w:rsidRPr="0041403E" w:rsidRDefault="0041403E" w:rsidP="0041403E">
      <w:pPr>
        <w:pStyle w:val="Odstavecseseznamem"/>
        <w:numPr>
          <w:ilvl w:val="0"/>
          <w:numId w:val="20"/>
        </w:numPr>
        <w:rPr>
          <w:b/>
          <w:color w:val="1F4E79" w:themeColor="accent1" w:themeShade="80"/>
          <w:sz w:val="28"/>
          <w:szCs w:val="28"/>
        </w:rPr>
      </w:pPr>
      <w:r>
        <w:t xml:space="preserve">může podat neomezený počet návrhů projektů (aby mohl být návrh projektu podpořen, je nutné splnit podmínky stanovené v kapitole 3.7 Vymezení se vůči vlastním obdobným projektům). </w:t>
      </w:r>
    </w:p>
    <w:p w:rsidR="0041403E" w:rsidRPr="0041403E" w:rsidRDefault="0041403E" w:rsidP="0041403E">
      <w:pPr>
        <w:ind w:left="360"/>
        <w:rPr>
          <w:b/>
        </w:rPr>
      </w:pPr>
      <w:r w:rsidRPr="0041403E">
        <w:rPr>
          <w:b/>
        </w:rPr>
        <w:t xml:space="preserve">Dalším účastníkem: </w:t>
      </w:r>
    </w:p>
    <w:p w:rsidR="0041403E" w:rsidRPr="0041403E" w:rsidRDefault="0041403E" w:rsidP="0041403E">
      <w:pPr>
        <w:pStyle w:val="Odstavecseseznamem"/>
        <w:numPr>
          <w:ilvl w:val="0"/>
          <w:numId w:val="26"/>
        </w:numPr>
        <w:rPr>
          <w:b/>
          <w:color w:val="1F4E79" w:themeColor="accent1" w:themeShade="80"/>
          <w:sz w:val="28"/>
          <w:szCs w:val="28"/>
        </w:rPr>
      </w:pPr>
      <w:r>
        <w:t xml:space="preserve">může být subjekt se sídlem v členském státě Evropské unie (včetně České republiky), v jiném státě tvořícím Evropský hospodářský prostor nebo ve Švýcarské konfederaci; </w:t>
      </w:r>
    </w:p>
    <w:p w:rsidR="0041403E" w:rsidRPr="0041403E" w:rsidRDefault="0041403E" w:rsidP="0041403E">
      <w:pPr>
        <w:pStyle w:val="Odstavecseseznamem"/>
        <w:numPr>
          <w:ilvl w:val="0"/>
          <w:numId w:val="26"/>
        </w:numPr>
        <w:rPr>
          <w:b/>
          <w:color w:val="1F4E79" w:themeColor="accent1" w:themeShade="80"/>
          <w:sz w:val="28"/>
          <w:szCs w:val="28"/>
        </w:rPr>
      </w:pPr>
      <w:r>
        <w:t xml:space="preserve">musí být minimálně pět subjektů typu malý nebo střední podnik. </w:t>
      </w:r>
    </w:p>
    <w:p w:rsidR="0041403E" w:rsidRDefault="0041403E" w:rsidP="0041403E">
      <w:pPr>
        <w:ind w:left="426"/>
      </w:pPr>
      <w:r w:rsidRPr="0041403E">
        <w:rPr>
          <w:b/>
        </w:rPr>
        <w:t>Každý uchazeč</w:t>
      </w:r>
      <w:r>
        <w:t xml:space="preserve"> (hlavní uchazeč, další účastníci) musí pro určení maximální intenzity podpory zvolit jeden z následujících typů uchazeče: </w:t>
      </w:r>
    </w:p>
    <w:p w:rsidR="0041403E" w:rsidRPr="0041403E" w:rsidRDefault="0041403E" w:rsidP="0041403E">
      <w:pPr>
        <w:pStyle w:val="Odstavecseseznamem"/>
        <w:numPr>
          <w:ilvl w:val="0"/>
          <w:numId w:val="27"/>
        </w:numPr>
        <w:rPr>
          <w:b/>
          <w:color w:val="1F4E79" w:themeColor="accent1" w:themeShade="80"/>
          <w:sz w:val="28"/>
          <w:szCs w:val="28"/>
        </w:rPr>
      </w:pPr>
      <w:r>
        <w:t xml:space="preserve">výzkumné organizace; </w:t>
      </w:r>
    </w:p>
    <w:p w:rsidR="00EB56DC" w:rsidRPr="0041403E" w:rsidRDefault="0041403E" w:rsidP="0041403E">
      <w:pPr>
        <w:pStyle w:val="Odstavecseseznamem"/>
        <w:numPr>
          <w:ilvl w:val="0"/>
          <w:numId w:val="27"/>
        </w:numPr>
        <w:rPr>
          <w:b/>
          <w:color w:val="1F4E79" w:themeColor="accent1" w:themeShade="80"/>
          <w:sz w:val="28"/>
          <w:szCs w:val="28"/>
        </w:rPr>
      </w:pPr>
      <w:r>
        <w:t>podniky.</w:t>
      </w:r>
    </w:p>
    <w:p w:rsidR="0041403E" w:rsidRDefault="0041403E" w:rsidP="00AF3498">
      <w:pPr>
        <w:rPr>
          <w:b/>
          <w:color w:val="1F4E79" w:themeColor="accent1" w:themeShade="80"/>
          <w:sz w:val="28"/>
          <w:szCs w:val="28"/>
        </w:rPr>
      </w:pPr>
    </w:p>
    <w:p w:rsidR="00AF3498" w:rsidRPr="00DD097B" w:rsidRDefault="00AF3498" w:rsidP="00AF3498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Zaměření soutěže:</w:t>
      </w:r>
    </w:p>
    <w:p w:rsidR="00EB56DC" w:rsidRDefault="00EB56DC" w:rsidP="00EB56DC">
      <w:r>
        <w:t>Veřejná soutěž je zaměřena na podporu a posílení dlouhodobé spolupráce mezi výzkumnou</w:t>
      </w:r>
    </w:p>
    <w:p w:rsidR="00EB56DC" w:rsidRDefault="00EB56DC" w:rsidP="00EB56DC">
      <w:r>
        <w:t>a aplikační sférou a posílení institucionální základny aplikovaného výzkumu.</w:t>
      </w:r>
    </w:p>
    <w:p w:rsidR="00EB56DC" w:rsidRDefault="00EB56DC" w:rsidP="00EB56DC">
      <w:r>
        <w:t>Cílem veřejné soutěže a samotného programu je:</w:t>
      </w:r>
    </w:p>
    <w:p w:rsidR="00EB56DC" w:rsidRDefault="00EB56DC" w:rsidP="00EB56DC">
      <w:pPr>
        <w:pStyle w:val="Odstavecseseznamem"/>
        <w:numPr>
          <w:ilvl w:val="0"/>
          <w:numId w:val="19"/>
        </w:numPr>
      </w:pPr>
      <w:r>
        <w:t>zvýšení efektivity a kvality výsledků aplikovaného výzkumu a transferu technologií v klíčových oborech s perspektivou růstu;</w:t>
      </w:r>
    </w:p>
    <w:p w:rsidR="00EB56DC" w:rsidRDefault="00EB56DC" w:rsidP="00EB56DC">
      <w:pPr>
        <w:pStyle w:val="Odstavecseseznamem"/>
        <w:numPr>
          <w:ilvl w:val="0"/>
          <w:numId w:val="19"/>
        </w:numPr>
      </w:pPr>
      <w:r>
        <w:t>zvýšení konkurenceschopnosti podniků;</w:t>
      </w:r>
    </w:p>
    <w:p w:rsidR="00760FE8" w:rsidRDefault="00EB56DC" w:rsidP="00EB56DC">
      <w:pPr>
        <w:pStyle w:val="Odstavecseseznamem"/>
        <w:numPr>
          <w:ilvl w:val="0"/>
          <w:numId w:val="19"/>
        </w:numPr>
      </w:pPr>
      <w:r>
        <w:t>posílení excelence a aplikační relevance výzkumných organizací.</w:t>
      </w:r>
    </w:p>
    <w:p w:rsidR="0041403E" w:rsidRDefault="0041403E" w:rsidP="0041403E">
      <w:r>
        <w:t>Každý návrh projektu se musí přihlásit k jednomu hlavnímu a jednomu vedlejšímu výzkumnému tématu, a to z níže uvedeného seznamu: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Biomedicína;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Biotechnologie, kvalifikovaná chemie a </w:t>
      </w:r>
      <w:proofErr w:type="spellStart"/>
      <w:r>
        <w:t>bioekonomika</w:t>
      </w:r>
      <w:proofErr w:type="spellEnd"/>
      <w:r>
        <w:t xml:space="preserve">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ČR v 21. století (změna klimatu a globalizace);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Doprava a Smart City;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ICT v digitální éře (Al, virtuální realita, big data);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Letecká a kosmická technika;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Moderní energetika;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Optika a optoelektronika;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Pokročilé materiály a nanotechnologie;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Robotika, informatika a kybernetika pro společnost 4.0;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Společenské dopady technologických změn;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Strojírenství pro 21. století. </w:t>
      </w:r>
    </w:p>
    <w:p w:rsidR="0041403E" w:rsidRDefault="0041403E" w:rsidP="00A902BD">
      <w:pPr>
        <w:ind w:left="360"/>
      </w:pPr>
      <w:r>
        <w:lastRenderedPageBreak/>
        <w:t xml:space="preserve">Dále bude možnost volitelně se přihlásit k naplnění prioritních oblastí Evropské komise, kterými jsou: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 xml:space="preserve">Green </w:t>
      </w:r>
      <w:proofErr w:type="spellStart"/>
      <w:r>
        <w:t>Deal</w:t>
      </w:r>
      <w:proofErr w:type="spellEnd"/>
      <w:r>
        <w:t xml:space="preserve">; </w:t>
      </w:r>
    </w:p>
    <w:p w:rsidR="0041403E" w:rsidRDefault="0041403E" w:rsidP="0041403E">
      <w:pPr>
        <w:pStyle w:val="Odstavecseseznamem"/>
        <w:numPr>
          <w:ilvl w:val="0"/>
          <w:numId w:val="28"/>
        </w:numPr>
      </w:pPr>
      <w:r>
        <w:t>Digitalizace.</w:t>
      </w:r>
    </w:p>
    <w:p w:rsidR="00EB56DC" w:rsidRPr="00EB56DC" w:rsidRDefault="00EB56DC" w:rsidP="007E344D">
      <w:pPr>
        <w:rPr>
          <w:b/>
          <w:color w:val="1F4E79" w:themeColor="accent1" w:themeShade="80"/>
          <w:sz w:val="20"/>
          <w:szCs w:val="20"/>
        </w:rPr>
      </w:pPr>
    </w:p>
    <w:p w:rsidR="00A902BD" w:rsidRDefault="00A902BD" w:rsidP="007E344D">
      <w:r w:rsidRPr="00A902BD">
        <w:rPr>
          <w:b/>
          <w:color w:val="1F4E79" w:themeColor="accent1" w:themeShade="80"/>
          <w:sz w:val="28"/>
          <w:szCs w:val="28"/>
        </w:rPr>
        <w:t>Příjmy z komercializačních aktivit</w:t>
      </w:r>
      <w:r>
        <w:t xml:space="preserve"> </w:t>
      </w:r>
    </w:p>
    <w:p w:rsidR="00A902BD" w:rsidRPr="00A902BD" w:rsidRDefault="00A902BD" w:rsidP="007E344D">
      <w:r>
        <w:t xml:space="preserve">Pro 2. veřejnou soutěž programu Národní centra kompetence platí, že podpořeny mohou být jen ty </w:t>
      </w:r>
      <w:r w:rsidRPr="00A902BD">
        <w:t xml:space="preserve">projekty, jejichž příjemci: </w:t>
      </w:r>
    </w:p>
    <w:p w:rsidR="00A902BD" w:rsidRPr="00A902BD" w:rsidRDefault="00A902BD" w:rsidP="00A902BD">
      <w:pPr>
        <w:pStyle w:val="Odstavecseseznamem"/>
        <w:numPr>
          <w:ilvl w:val="0"/>
          <w:numId w:val="29"/>
        </w:numPr>
        <w:rPr>
          <w:b/>
          <w:color w:val="1F4E79" w:themeColor="accent1" w:themeShade="80"/>
          <w:sz w:val="28"/>
          <w:szCs w:val="28"/>
        </w:rPr>
      </w:pPr>
      <w:r w:rsidRPr="00A902BD">
        <w:t xml:space="preserve">v návrhu projektu deklarují a v průběhu realizace projektu zajistí příjmy z komercializačních aktivit v objemu alespoň 19 % z požadované finanční podpory. Za tyto příjmy jsou pro účely této veřejné soutěže považovány zejména: </w:t>
      </w:r>
    </w:p>
    <w:p w:rsidR="00A902BD" w:rsidRPr="00A902BD" w:rsidRDefault="00A902BD" w:rsidP="00A902BD">
      <w:pPr>
        <w:pStyle w:val="Odstavecseseznamem"/>
        <w:numPr>
          <w:ilvl w:val="0"/>
          <w:numId w:val="29"/>
        </w:numPr>
        <w:rPr>
          <w:b/>
          <w:color w:val="1F4E79" w:themeColor="accent1" w:themeShade="80"/>
          <w:sz w:val="28"/>
          <w:szCs w:val="28"/>
        </w:rPr>
      </w:pPr>
      <w:r w:rsidRPr="00A902BD">
        <w:t xml:space="preserve">příjmy ze smluvního výzkumu; </w:t>
      </w:r>
    </w:p>
    <w:p w:rsidR="00A902BD" w:rsidRPr="00A902BD" w:rsidRDefault="00A902BD" w:rsidP="00A902BD">
      <w:pPr>
        <w:pStyle w:val="Odstavecseseznamem"/>
        <w:numPr>
          <w:ilvl w:val="0"/>
          <w:numId w:val="29"/>
        </w:numPr>
        <w:rPr>
          <w:b/>
          <w:color w:val="1F4E79" w:themeColor="accent1" w:themeShade="80"/>
          <w:sz w:val="28"/>
          <w:szCs w:val="28"/>
        </w:rPr>
      </w:pPr>
      <w:r w:rsidRPr="00A902BD">
        <w:t xml:space="preserve">příjmy z licencí; </w:t>
      </w:r>
    </w:p>
    <w:p w:rsidR="00A902BD" w:rsidRPr="00A902BD" w:rsidRDefault="00A902BD" w:rsidP="00A902BD">
      <w:pPr>
        <w:pStyle w:val="Odstavecseseznamem"/>
        <w:numPr>
          <w:ilvl w:val="0"/>
          <w:numId w:val="29"/>
        </w:numPr>
        <w:rPr>
          <w:b/>
          <w:color w:val="1F4E79" w:themeColor="accent1" w:themeShade="80"/>
          <w:sz w:val="28"/>
          <w:szCs w:val="28"/>
        </w:rPr>
      </w:pPr>
      <w:r w:rsidRPr="00A902BD">
        <w:t xml:space="preserve">náklady výzkumné organizace uhrazené podnikem v rámci řešení projektů </w:t>
      </w:r>
      <w:proofErr w:type="spellStart"/>
      <w:r w:rsidRPr="00A902BD">
        <w:t>kolaborativního</w:t>
      </w:r>
      <w:proofErr w:type="spellEnd"/>
      <w:r w:rsidRPr="00A902BD">
        <w:t xml:space="preserve"> výzkumu, tzn. formou účinné spolupráce, na které nebyla poskytnuta účelová veřejná podpora. V tomto ohledu lze doporučit seznámení se se Stanoviskem k aspektům výzkumné spolupráce; </w:t>
      </w:r>
    </w:p>
    <w:p w:rsidR="00A902BD" w:rsidRPr="00A902BD" w:rsidRDefault="00A902BD" w:rsidP="00A902BD">
      <w:pPr>
        <w:pStyle w:val="Odstavecseseznamem"/>
        <w:numPr>
          <w:ilvl w:val="0"/>
          <w:numId w:val="29"/>
        </w:numPr>
        <w:rPr>
          <w:b/>
          <w:color w:val="1F4E79" w:themeColor="accent1" w:themeShade="80"/>
          <w:sz w:val="28"/>
          <w:szCs w:val="28"/>
        </w:rPr>
      </w:pPr>
      <w:r w:rsidRPr="00A902BD">
        <w:t xml:space="preserve">ostatní (příjemce sám upřesní tento typ příjmů); 7 </w:t>
      </w:r>
    </w:p>
    <w:p w:rsidR="00A902BD" w:rsidRPr="00A902BD" w:rsidRDefault="00A902BD" w:rsidP="00A902BD">
      <w:pPr>
        <w:pStyle w:val="Odstavecseseznamem"/>
        <w:rPr>
          <w:b/>
          <w:color w:val="1F4E79" w:themeColor="accent1" w:themeShade="80"/>
          <w:sz w:val="28"/>
          <w:szCs w:val="28"/>
        </w:rPr>
      </w:pPr>
    </w:p>
    <w:p w:rsidR="00A902BD" w:rsidRDefault="00A902BD" w:rsidP="00A902BD">
      <w:pPr>
        <w:ind w:left="360"/>
      </w:pPr>
      <w:r>
        <w:t xml:space="preserve">Výše uvedené příjmy, případně i další příjmy z komercializačních aktivit musejí pokrývat plnění realizované či vzniklé v rámci výzkumné či vývojové činnosti, nemůže se proto jednat např. o příjmy ze servisních služeb nevýzkumné povahy, pronájem apod. </w:t>
      </w:r>
    </w:p>
    <w:p w:rsidR="00A902BD" w:rsidRDefault="00A902BD" w:rsidP="00A902BD">
      <w:pPr>
        <w:ind w:left="360"/>
        <w:rPr>
          <w:b/>
          <w:color w:val="FF0000"/>
        </w:rPr>
      </w:pPr>
      <w:r w:rsidRPr="00A902BD">
        <w:rPr>
          <w:b/>
          <w:color w:val="FF0000"/>
        </w:rPr>
        <w:t>Tyto příjmy v objemu min. 19 % z požadované výše podpory budou započítávány a vykazovány pouze ze strany pracovišť výzkumných organizací zapojených do projektu NCK.</w:t>
      </w:r>
    </w:p>
    <w:p w:rsidR="00AE688C" w:rsidRDefault="00A902BD" w:rsidP="00A902BD">
      <w:pPr>
        <w:ind w:left="360"/>
      </w:pPr>
      <w:r>
        <w:t xml:space="preserve">V rámci návrhu projektu uvedou uchazeči příjmy z komercializačních aktivit jednotlivých pracovišť výzkumných organizací v předepsané struktuře v </w:t>
      </w:r>
      <w:r w:rsidRPr="00AE688C">
        <w:rPr>
          <w:b/>
        </w:rPr>
        <w:t>Příloze č. 4 - Příloha za pracoviště uchazeče/</w:t>
      </w:r>
      <w:proofErr w:type="spellStart"/>
      <w:r w:rsidRPr="00AE688C">
        <w:rPr>
          <w:b/>
        </w:rPr>
        <w:t>Annex</w:t>
      </w:r>
      <w:proofErr w:type="spellEnd"/>
      <w:r w:rsidRPr="00AE688C">
        <w:rPr>
          <w:b/>
        </w:rPr>
        <w:t xml:space="preserve"> No. 4 - </w:t>
      </w:r>
      <w:proofErr w:type="spellStart"/>
      <w:r w:rsidRPr="00AE688C">
        <w:rPr>
          <w:b/>
        </w:rPr>
        <w:t>Annex</w:t>
      </w:r>
      <w:proofErr w:type="spellEnd"/>
      <w:r w:rsidRPr="00AE688C">
        <w:rPr>
          <w:b/>
        </w:rPr>
        <w:t xml:space="preserve"> </w:t>
      </w:r>
      <w:proofErr w:type="spellStart"/>
      <w:r w:rsidRPr="00AE688C">
        <w:rPr>
          <w:b/>
        </w:rPr>
        <w:t>for</w:t>
      </w:r>
      <w:proofErr w:type="spellEnd"/>
      <w:r w:rsidRPr="00AE688C">
        <w:rPr>
          <w:b/>
        </w:rPr>
        <w:t xml:space="preserve"> </w:t>
      </w:r>
      <w:proofErr w:type="spellStart"/>
      <w:r w:rsidRPr="00AE688C">
        <w:rPr>
          <w:b/>
        </w:rPr>
        <w:t>applicant's</w:t>
      </w:r>
      <w:proofErr w:type="spellEnd"/>
      <w:r w:rsidRPr="00AE688C">
        <w:rPr>
          <w:b/>
        </w:rPr>
        <w:t xml:space="preserve"> </w:t>
      </w:r>
      <w:proofErr w:type="spellStart"/>
      <w:r w:rsidRPr="00AE688C">
        <w:rPr>
          <w:b/>
        </w:rPr>
        <w:t>research</w:t>
      </w:r>
      <w:proofErr w:type="spellEnd"/>
      <w:r w:rsidRPr="00AE688C">
        <w:rPr>
          <w:b/>
        </w:rPr>
        <w:t xml:space="preserve"> </w:t>
      </w:r>
      <w:proofErr w:type="spellStart"/>
      <w:r w:rsidRPr="00AE688C">
        <w:rPr>
          <w:b/>
        </w:rPr>
        <w:t>group</w:t>
      </w:r>
      <w:proofErr w:type="spellEnd"/>
      <w:r>
        <w:t xml:space="preserve">(s). Celkové příjmy z komercializačních aktivit budou uvedeny v </w:t>
      </w:r>
      <w:r w:rsidRPr="00AE688C">
        <w:rPr>
          <w:b/>
        </w:rPr>
        <w:t>Příloze č. 3 - Příjmy z komercializace/</w:t>
      </w:r>
      <w:proofErr w:type="spellStart"/>
      <w:r w:rsidRPr="00AE688C">
        <w:rPr>
          <w:b/>
        </w:rPr>
        <w:t>Annex</w:t>
      </w:r>
      <w:proofErr w:type="spellEnd"/>
      <w:r w:rsidRPr="00AE688C">
        <w:rPr>
          <w:b/>
        </w:rPr>
        <w:t xml:space="preserve"> No. 3 - </w:t>
      </w:r>
      <w:proofErr w:type="spellStart"/>
      <w:r w:rsidRPr="00AE688C">
        <w:rPr>
          <w:b/>
        </w:rPr>
        <w:t>Income</w:t>
      </w:r>
      <w:proofErr w:type="spellEnd"/>
      <w:r w:rsidRPr="00AE688C">
        <w:rPr>
          <w:b/>
        </w:rPr>
        <w:t xml:space="preserve"> </w:t>
      </w:r>
      <w:proofErr w:type="spellStart"/>
      <w:r w:rsidRPr="00AE688C">
        <w:rPr>
          <w:b/>
        </w:rPr>
        <w:t>from</w:t>
      </w:r>
      <w:proofErr w:type="spellEnd"/>
      <w:r w:rsidRPr="00AE688C">
        <w:rPr>
          <w:b/>
        </w:rPr>
        <w:t xml:space="preserve"> </w:t>
      </w:r>
      <w:proofErr w:type="spellStart"/>
      <w:r w:rsidRPr="00AE688C">
        <w:rPr>
          <w:b/>
        </w:rPr>
        <w:t>commercialisation</w:t>
      </w:r>
      <w:proofErr w:type="spellEnd"/>
      <w:r w:rsidRPr="00AE688C">
        <w:rPr>
          <w:b/>
        </w:rPr>
        <w:t>.</w:t>
      </w:r>
      <w:r>
        <w:t xml:space="preserve"> Částky uvedené v této příloze by měly být součtem částek uvedených v jednotlivých přílohách za pracoviště. Informace z těchto příloh budou podkladem pro hodnocení splnění podmínky minimálního objemu příjmů z komercializačních aktivit v rámci hodnoticího procesu. Jejich reálné dosahování pak bude kontrolováno v průběhu realizace projektu. </w:t>
      </w:r>
    </w:p>
    <w:p w:rsidR="00A902BD" w:rsidRPr="00236277" w:rsidRDefault="00A902BD" w:rsidP="00A902BD">
      <w:pPr>
        <w:ind w:left="360"/>
        <w:rPr>
          <w:b/>
          <w:sz w:val="28"/>
          <w:szCs w:val="28"/>
          <w:highlight w:val="yellow"/>
        </w:rPr>
      </w:pPr>
      <w:r>
        <w:t xml:space="preserve">Minimální podíl příjmů z komercializačních aktivit ve vztahu k požadované výši podpory bude muset být vykazován za každé 2 roky řešení projektu dohromady, tedy např. 1. - 2. rok řešení, 3. - 4. rok řešení, atd. Příjmy z komercializačních aktivit nelze započítávat u propojených </w:t>
      </w:r>
      <w:r w:rsidRPr="00236277">
        <w:t>podniků.</w:t>
      </w:r>
    </w:p>
    <w:p w:rsidR="00AE688C" w:rsidRDefault="00AE688C" w:rsidP="007E344D">
      <w:pPr>
        <w:rPr>
          <w:b/>
          <w:color w:val="1F4E79" w:themeColor="accent1" w:themeShade="80"/>
          <w:sz w:val="28"/>
          <w:szCs w:val="28"/>
          <w:highlight w:val="yellow"/>
        </w:rPr>
      </w:pPr>
    </w:p>
    <w:p w:rsidR="00236277" w:rsidRDefault="00236277" w:rsidP="007E344D">
      <w:pPr>
        <w:rPr>
          <w:b/>
          <w:color w:val="1F4E79" w:themeColor="accent1" w:themeShade="80"/>
          <w:sz w:val="28"/>
          <w:szCs w:val="28"/>
          <w:highlight w:val="yellow"/>
        </w:rPr>
      </w:pPr>
    </w:p>
    <w:p w:rsidR="00236277" w:rsidRDefault="00236277" w:rsidP="007E344D">
      <w:pPr>
        <w:rPr>
          <w:b/>
          <w:color w:val="1F4E79" w:themeColor="accent1" w:themeShade="80"/>
          <w:sz w:val="28"/>
          <w:szCs w:val="28"/>
          <w:highlight w:val="yellow"/>
        </w:rPr>
      </w:pPr>
    </w:p>
    <w:p w:rsidR="00A902BD" w:rsidRPr="00AE688C" w:rsidRDefault="00AE688C" w:rsidP="007E344D">
      <w:pPr>
        <w:rPr>
          <w:b/>
          <w:color w:val="1F4E79" w:themeColor="accent1" w:themeShade="80"/>
          <w:sz w:val="28"/>
          <w:szCs w:val="28"/>
        </w:rPr>
      </w:pPr>
      <w:r w:rsidRPr="00AE688C">
        <w:rPr>
          <w:b/>
          <w:color w:val="1F4E79" w:themeColor="accent1" w:themeShade="80"/>
          <w:sz w:val="28"/>
          <w:szCs w:val="28"/>
        </w:rPr>
        <w:lastRenderedPageBreak/>
        <w:t>Výstupy a výsledky</w:t>
      </w:r>
    </w:p>
    <w:p w:rsidR="00A902BD" w:rsidRDefault="00AE688C" w:rsidP="00AE688C">
      <w:r w:rsidRPr="00AE688C">
        <w:t>V této veřejné soutěži může TA ČR podporovat pouze návrhy projektů, kde se předpokládá uplatnění</w:t>
      </w:r>
      <w:r>
        <w:t xml:space="preserve"> </w:t>
      </w:r>
      <w:r w:rsidRPr="00AE688C">
        <w:t>výstupů/výsledků do praxe.</w:t>
      </w:r>
    </w:p>
    <w:p w:rsidR="00AE688C" w:rsidRPr="00AE688C" w:rsidRDefault="00AE688C" w:rsidP="00AE688C">
      <w:r>
        <w:t xml:space="preserve">V návrhu projektu uchazeči </w:t>
      </w:r>
      <w:r w:rsidRPr="00AE688C">
        <w:rPr>
          <w:b/>
        </w:rPr>
        <w:t>uvedou pouze jeden výsledek, a to druhu O - ostatní výsledky s názvem “Plán výsledků”</w:t>
      </w:r>
      <w:r>
        <w:t>, přičemž v popisu daného výsledku uvedou počet a jakých výsledků plánují prostřednictvím dílčích projektů dosáhnout. Jako termín dosažení výsledku s názvem “Plán výsledku” uchazeči zvolí termín konce řešení projektu. Další jednotlivé výsledky budou definovány v rámci dílčích projektů.</w:t>
      </w:r>
    </w:p>
    <w:p w:rsidR="007E344D" w:rsidRPr="00AE688C" w:rsidRDefault="00AE688C" w:rsidP="007E344D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Podporované druhy výsledků v dílčích projektech: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Fprum</w:t>
      </w:r>
      <w:proofErr w:type="spellEnd"/>
      <w:r w:rsidRPr="00AE688C">
        <w:t xml:space="preserve"> – průmyslový vzor;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Fuzit</w:t>
      </w:r>
      <w:proofErr w:type="spellEnd"/>
      <w:r w:rsidRPr="00AE688C">
        <w:t xml:space="preserve"> – užitný vzor;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Gprot</w:t>
      </w:r>
      <w:proofErr w:type="spellEnd"/>
      <w:r w:rsidRPr="00AE688C">
        <w:t xml:space="preserve"> – prototyp;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Gfunk</w:t>
      </w:r>
      <w:proofErr w:type="spellEnd"/>
      <w:r w:rsidRPr="00AE688C">
        <w:t xml:space="preserve"> – funkční vzorek;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AE688C">
        <w:t>Hneleg</w:t>
      </w:r>
      <w:proofErr w:type="spellEnd"/>
      <w:r w:rsidRPr="00AE688C">
        <w:t xml:space="preserve"> – výsledky promítnuté do směrnic a předpisů nelegislativní povahy závazných v rámci kompetence příslušného poskytovatele</w:t>
      </w:r>
      <w:r w:rsidR="00AE688C" w:rsidRPr="00AE688C">
        <w:t xml:space="preserve"> - </w:t>
      </w:r>
      <w:r w:rsidR="00AE688C" w:rsidRPr="00AE688C">
        <w:rPr>
          <w:b/>
        </w:rPr>
        <w:t>povinnou přílohou je doložení zájmu budoucího odběratele;</w:t>
      </w:r>
    </w:p>
    <w:p w:rsidR="007E344D" w:rsidRPr="00AE688C" w:rsidRDefault="00AE688C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Nlec</w:t>
      </w:r>
      <w:proofErr w:type="spellEnd"/>
      <w:r w:rsidR="007E344D" w:rsidRPr="00AE688C">
        <w:t xml:space="preserve"> – </w:t>
      </w:r>
      <w:r w:rsidRPr="00AE688C">
        <w:t>léčebný postup</w:t>
      </w:r>
      <w:r w:rsidR="007E344D" w:rsidRPr="00AE688C">
        <w:t>;</w:t>
      </w:r>
    </w:p>
    <w:p w:rsidR="007E14F2" w:rsidRPr="00AE688C" w:rsidRDefault="007E14F2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NmetA</w:t>
      </w:r>
      <w:proofErr w:type="spellEnd"/>
      <w:r w:rsidRPr="00AE688C">
        <w:t xml:space="preserve"> – metodika a postup akreditované oprávněným orgánem;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NmetS</w:t>
      </w:r>
      <w:proofErr w:type="spellEnd"/>
      <w:r w:rsidRPr="00AE688C">
        <w:t xml:space="preserve"> – metodika schválená příslušným orgánem státní správy, do jehož kompetence daná problematika spadá – </w:t>
      </w:r>
      <w:r w:rsidR="00AE688C" w:rsidRPr="00AE688C">
        <w:t xml:space="preserve">doporučenou </w:t>
      </w:r>
      <w:r w:rsidRPr="00AE688C">
        <w:t xml:space="preserve">přílohou je </w:t>
      </w:r>
      <w:hyperlink r:id="rId9" w:history="1">
        <w:r w:rsidRPr="00AE688C">
          <w:rPr>
            <w:rStyle w:val="Hypertextovodkaz"/>
          </w:rPr>
          <w:t xml:space="preserve">Formulář pro druh výsledku </w:t>
        </w:r>
        <w:proofErr w:type="spellStart"/>
        <w:r w:rsidRPr="00AE688C">
          <w:rPr>
            <w:rStyle w:val="Hypertextovodkaz"/>
          </w:rPr>
          <w:t>NmetS</w:t>
        </w:r>
        <w:proofErr w:type="spellEnd"/>
      </w:hyperlink>
      <w:r w:rsidRPr="00AE688C">
        <w:t>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NmetC</w:t>
      </w:r>
      <w:proofErr w:type="spellEnd"/>
      <w:r w:rsidRPr="00AE688C">
        <w:t xml:space="preserve"> – metodika certifikovaná oprávněným orgánem;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Nmap</w:t>
      </w:r>
      <w:proofErr w:type="spellEnd"/>
      <w:r w:rsidRPr="00AE688C">
        <w:t xml:space="preserve"> – specializovaná mapa s odborným obsahem;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r w:rsidRPr="00AE688C">
        <w:t>P – patent – povinnou přílohou je patentová rešerše;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r w:rsidRPr="00AE688C">
        <w:t>R – software;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r w:rsidRPr="00AE688C">
        <w:t>S – specializovaná veřejná databáze;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Zpolop</w:t>
      </w:r>
      <w:proofErr w:type="spellEnd"/>
      <w:r w:rsidRPr="00AE688C">
        <w:t xml:space="preserve"> – poloprovoz;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AE688C">
        <w:t>Ztech</w:t>
      </w:r>
      <w:proofErr w:type="spellEnd"/>
      <w:r w:rsidRPr="00AE688C">
        <w:t xml:space="preserve"> – ověřená technologie;</w:t>
      </w:r>
    </w:p>
    <w:p w:rsidR="007E344D" w:rsidRPr="00AE688C" w:rsidRDefault="007E344D" w:rsidP="007E344D">
      <w:pPr>
        <w:pStyle w:val="Odstavecseseznamem"/>
        <w:numPr>
          <w:ilvl w:val="0"/>
          <w:numId w:val="10"/>
        </w:numPr>
      </w:pPr>
      <w:r w:rsidRPr="00AE688C">
        <w:t>O – ostatní výsledky.</w:t>
      </w:r>
    </w:p>
    <w:p w:rsidR="007E344D" w:rsidRPr="0041403E" w:rsidRDefault="007E344D" w:rsidP="007E344D">
      <w:pPr>
        <w:pStyle w:val="Odstavecseseznamem"/>
        <w:rPr>
          <w:highlight w:val="yellow"/>
        </w:rPr>
      </w:pPr>
    </w:p>
    <w:p w:rsidR="0057770F" w:rsidRDefault="0057770F" w:rsidP="0057770F"/>
    <w:p w:rsidR="0057770F" w:rsidRPr="00DD097B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Základní finanční údaje</w:t>
      </w:r>
      <w:r w:rsidR="00CA65B4">
        <w:rPr>
          <w:b/>
          <w:color w:val="1F4E79" w:themeColor="accent1" w:themeShade="80"/>
          <w:sz w:val="28"/>
          <w:szCs w:val="28"/>
        </w:rPr>
        <w:t>: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7E14F2">
        <w:t xml:space="preserve">Alokace soutěže </w:t>
      </w:r>
      <w:r w:rsidR="0041403E">
        <w:rPr>
          <w:b/>
        </w:rPr>
        <w:t>–</w:t>
      </w:r>
      <w:r w:rsidRPr="007E14F2">
        <w:rPr>
          <w:b/>
        </w:rPr>
        <w:t xml:space="preserve"> </w:t>
      </w:r>
      <w:r w:rsidR="0041403E">
        <w:rPr>
          <w:b/>
        </w:rPr>
        <w:t>6,2 mld.</w:t>
      </w:r>
      <w:r w:rsidRPr="007E14F2">
        <w:rPr>
          <w:b/>
        </w:rPr>
        <w:t xml:space="preserve"> Kč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5E71F4">
        <w:t>Maximální částka podpory na jeden projekt -</w:t>
      </w:r>
      <w:r w:rsidR="0041403E">
        <w:rPr>
          <w:b/>
        </w:rPr>
        <w:t>není stanovena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5E71F4">
        <w:t>Maximální intenzita podpory na projekt</w:t>
      </w:r>
      <w:r w:rsidR="00D66035" w:rsidRPr="005E71F4">
        <w:t xml:space="preserve"> - </w:t>
      </w:r>
      <w:r w:rsidRPr="005E71F4">
        <w:rPr>
          <w:b/>
        </w:rPr>
        <w:t>80 %</w:t>
      </w:r>
    </w:p>
    <w:p w:rsidR="00D66035" w:rsidRDefault="00D66035" w:rsidP="007C2781">
      <w:pPr>
        <w:spacing w:line="100" w:lineRule="atLeast"/>
        <w:rPr>
          <w:b/>
        </w:rPr>
      </w:pPr>
      <w:r w:rsidRPr="005E71F4">
        <w:rPr>
          <w:b/>
        </w:rPr>
        <w:t>Maximální intenzita podpory pro výzkumnou organizaci -  100%</w:t>
      </w:r>
    </w:p>
    <w:p w:rsidR="00894BEB" w:rsidRDefault="00894BEB" w:rsidP="0057770F">
      <w:pPr>
        <w:rPr>
          <w:b/>
        </w:rPr>
      </w:pPr>
    </w:p>
    <w:p w:rsidR="005E71F4" w:rsidRPr="00DD097B" w:rsidRDefault="00FE3CFC" w:rsidP="00DD097B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 xml:space="preserve">Způsobilé náklady: </w:t>
      </w:r>
    </w:p>
    <w:p w:rsidR="007E14F2" w:rsidRDefault="00FE3CFC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>osobní náklady</w:t>
      </w:r>
    </w:p>
    <w:p w:rsidR="00FE3CFC" w:rsidRDefault="007E14F2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>stipendia (na VUT nedoporučováno)</w:t>
      </w:r>
      <w:r w:rsidR="00FE3CFC">
        <w:rPr>
          <w:sz w:val="22"/>
          <w:szCs w:val="22"/>
        </w:rPr>
        <w:t xml:space="preserve">; </w:t>
      </w:r>
    </w:p>
    <w:p w:rsidR="00FE3CFC" w:rsidRDefault="00FE3CFC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náklady na subdodávky; </w:t>
      </w:r>
    </w:p>
    <w:p w:rsidR="00FE3CFC" w:rsidRDefault="00FE3CFC" w:rsidP="002D1982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ostatní přímé náklady; </w:t>
      </w:r>
    </w:p>
    <w:p w:rsidR="00FE3CFC" w:rsidRDefault="00FE3CFC" w:rsidP="002D1982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nepřímé náklady. </w:t>
      </w:r>
    </w:p>
    <w:p w:rsidR="00FE3CFC" w:rsidRDefault="00FE3CFC" w:rsidP="0057770F">
      <w:pPr>
        <w:rPr>
          <w:b/>
        </w:rPr>
      </w:pPr>
    </w:p>
    <w:p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894BEB" w:rsidRDefault="00894BEB" w:rsidP="0057770F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10" w:history="1">
        <w:r w:rsidR="007E14F2" w:rsidRPr="002F7795">
          <w:rPr>
            <w:rStyle w:val="Hypertextovodkaz"/>
          </w:rPr>
          <w:t>https://ista.tacr.cz/ISTA/action/Dashboard/ExternalNew/?actionId=4396311232625115&amp;ts=1618409983006&amp;hash=b+/wcP7Y8IGU1RkRhz37cXn5Y/ub2EB46M5pPdMyoEc=&amp;nbl=true&amp;uselastresult=true&amp;_browserSessionID=&amp;lang</w:t>
        </w:r>
      </w:hyperlink>
      <w:r w:rsidR="007E14F2" w:rsidRPr="007E14F2">
        <w:t>=</w:t>
      </w:r>
      <w:r w:rsidR="007E14F2">
        <w:t xml:space="preserve"> </w:t>
      </w:r>
    </w:p>
    <w:p w:rsidR="00894BEB" w:rsidRDefault="00894BEB" w:rsidP="0057770F">
      <w:pPr>
        <w:rPr>
          <w:b/>
        </w:rPr>
      </w:pPr>
    </w:p>
    <w:p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C4569A" w:rsidRPr="0002273D" w:rsidRDefault="00894BEB" w:rsidP="0002273D">
      <w:pPr>
        <w:rPr>
          <w:b/>
        </w:rPr>
      </w:pPr>
      <w:r w:rsidRPr="0002273D">
        <w:rPr>
          <w:b/>
        </w:rPr>
        <w:t>Čestné prohlášení za uchazeče – bude zajištěno rektorátem prostřednictvím datové schránky centrálně za všechny projekty ve lhůtě stanovené poskytovatelem.</w:t>
      </w:r>
      <w:r w:rsidR="007E344D" w:rsidRPr="0002273D">
        <w:rPr>
          <w:b/>
        </w:rPr>
        <w:t xml:space="preserve"> (Každý uchazeč musí poslat své ČP ze své datové schránky</w:t>
      </w:r>
      <w:r w:rsidR="00C4569A" w:rsidRPr="0002273D">
        <w:rPr>
          <w:b/>
        </w:rPr>
        <w:t>). Při zaslání ČP musí být v datovém poli Věc: uvedeno „</w:t>
      </w:r>
      <w:r w:rsidR="0002273D" w:rsidRPr="0002273D">
        <w:rPr>
          <w:b/>
        </w:rPr>
        <w:t>„Program Národní centra kompetence – Prokázání způsobilosti“</w:t>
      </w:r>
      <w:r w:rsidR="00C4569A" w:rsidRPr="0002273D">
        <w:rPr>
          <w:b/>
        </w:rPr>
        <w:t>.</w:t>
      </w:r>
    </w:p>
    <w:p w:rsidR="00AD0BCF" w:rsidRDefault="00AD0BCF" w:rsidP="0057770F">
      <w:pPr>
        <w:rPr>
          <w:b/>
        </w:rPr>
      </w:pPr>
      <w:r w:rsidRPr="0002273D">
        <w:rPr>
          <w:b/>
        </w:rPr>
        <w:t>VUT splňuje povinnost zveřejnit účetní závěrku tím, že vydává výroční zprávu o hospodaření.</w:t>
      </w:r>
    </w:p>
    <w:p w:rsidR="0002273D" w:rsidRPr="0002273D" w:rsidRDefault="0002273D" w:rsidP="0057770F">
      <w:pPr>
        <w:rPr>
          <w:b/>
        </w:rPr>
      </w:pPr>
      <w:r>
        <w:t xml:space="preserve">Zahraniční další účastníci zašlou Čestné prohlášení za uchazeče / </w:t>
      </w:r>
      <w:proofErr w:type="spellStart"/>
      <w:r>
        <w:t>Sworn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v listinné podobě (pokud nemají datovou schránku). V tomto případě musí být Čestné prohlášení podepsané statutárním zástupcem dalšího účastníka a musí se jednat o originál.</w:t>
      </w:r>
    </w:p>
    <w:p w:rsidR="00894BEB" w:rsidRPr="0002273D" w:rsidRDefault="00760FE8" w:rsidP="00760FE8">
      <w:r w:rsidRPr="0002273D">
        <w:t>V případě, že další účastník nemá datovou schránku, může čestné prohlášení poslat listině jako zahraniční další účastník, v tomto případě bude ČP podepsáno statutárním zástupcem.</w:t>
      </w:r>
    </w:p>
    <w:p w:rsidR="00760FE8" w:rsidRDefault="00760FE8" w:rsidP="00760FE8">
      <w:pPr>
        <w:rPr>
          <w:b/>
        </w:rPr>
      </w:pPr>
    </w:p>
    <w:p w:rsidR="00894BEB" w:rsidRPr="00AD0BCF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Návrh projektu:</w:t>
      </w:r>
    </w:p>
    <w:p w:rsidR="0002273D" w:rsidRDefault="0002273D" w:rsidP="0057770F">
      <w:r>
        <w:t xml:space="preserve">Návrh projektu musí být podán </w:t>
      </w:r>
      <w:r w:rsidRPr="0002273D">
        <w:rPr>
          <w:b/>
        </w:rPr>
        <w:t>v anglickém jazyce</w:t>
      </w:r>
      <w:r>
        <w:t xml:space="preserve">. </w:t>
      </w:r>
    </w:p>
    <w:p w:rsidR="007E344D" w:rsidRDefault="0002273D" w:rsidP="0057770F">
      <w:r>
        <w:t>Technologická agentura České republiky podporuje pouze návrhy projektů, jejichž obsah nebo jejich část dosud nebyly a v současnosti nejsou řešeny v rámci jiného vlastního projektu.</w:t>
      </w:r>
    </w:p>
    <w:p w:rsidR="0002273D" w:rsidRPr="0002273D" w:rsidRDefault="0002273D" w:rsidP="0002273D">
      <w:r w:rsidRPr="0002273D">
        <w:t>Uchazeči (zejména v případě shody klíčové osoby v řešitelském týmu a v případě podobného zaměření návrhu projektu) jsou povinni uvést vlastní:</w:t>
      </w:r>
    </w:p>
    <w:p w:rsidR="0002273D" w:rsidRPr="0002273D" w:rsidRDefault="0002273D" w:rsidP="0002273D">
      <w:pPr>
        <w:pStyle w:val="Odstavecseseznamem"/>
        <w:numPr>
          <w:ilvl w:val="0"/>
          <w:numId w:val="30"/>
        </w:numPr>
      </w:pPr>
      <w:r w:rsidRPr="0002273D">
        <w:rPr>
          <w:b/>
        </w:rPr>
        <w:t>ukončené projekty</w:t>
      </w:r>
      <w:r w:rsidRPr="0002273D">
        <w:t>, pokud plánované výstupy/výsledky návrhu projektu na ně navazují, a tuto návaznost popsat (např. projekty ukončené v rámci programu Centra kompetence, programu Národní centra kompetence, programu Centra excelence a další s podobným zaměřením);</w:t>
      </w:r>
    </w:p>
    <w:p w:rsidR="0002273D" w:rsidRPr="0002273D" w:rsidRDefault="0002273D" w:rsidP="0002273D">
      <w:pPr>
        <w:pStyle w:val="Odstavecseseznamem"/>
        <w:numPr>
          <w:ilvl w:val="0"/>
          <w:numId w:val="30"/>
        </w:numPr>
      </w:pPr>
      <w:r w:rsidRPr="0002273D">
        <w:rPr>
          <w:b/>
        </w:rPr>
        <w:t>aktuálně řešené související projekty</w:t>
      </w:r>
      <w:r w:rsidRPr="0002273D">
        <w:t xml:space="preserve"> a popsat odlišnosti mezi těmito projekty s návrhem projektu podávaným do této veřejné soutěže (např. projekty podpořené v rámci programu THÉTA podprogram 3, programu Prostředí pro život podprogram 3 a další s podobným zaměřením);</w:t>
      </w:r>
    </w:p>
    <w:p w:rsidR="0002273D" w:rsidRPr="0002273D" w:rsidRDefault="0002273D" w:rsidP="0002273D">
      <w:pPr>
        <w:pStyle w:val="Odstavecseseznamem"/>
        <w:numPr>
          <w:ilvl w:val="0"/>
          <w:numId w:val="30"/>
        </w:numPr>
      </w:pPr>
      <w:r w:rsidRPr="0002273D">
        <w:rPr>
          <w:b/>
        </w:rPr>
        <w:lastRenderedPageBreak/>
        <w:t>návrhy projektů souběžně podávané do této či jiných veřejných soutěží</w:t>
      </w:r>
      <w:r w:rsidRPr="0002273D">
        <w:t>, kdy by při současném podpoření nedocházelo k dvojímu financování. V tomto případě je nutné popsat odlišnosti mezi těmito projekty;</w:t>
      </w:r>
    </w:p>
    <w:p w:rsidR="007E344D" w:rsidRPr="003206E0" w:rsidRDefault="0002273D" w:rsidP="0057770F">
      <w:pPr>
        <w:pStyle w:val="Odstavecseseznamem"/>
        <w:numPr>
          <w:ilvl w:val="0"/>
          <w:numId w:val="30"/>
        </w:numPr>
      </w:pPr>
      <w:r w:rsidRPr="0002273D">
        <w:rPr>
          <w:b/>
        </w:rPr>
        <w:t>návrhy projektů souběžně podávané do této či jiných veřejných soutěží</w:t>
      </w:r>
      <w:r w:rsidRPr="0002273D">
        <w:t>, kdy by při současném podpoření docházelo k dvojímu financování. V tomto případě je nutné uvést, že bude uzavřena pouze jedna smlouva o poskytnutí podpory a tento závazek dodržet.</w:t>
      </w:r>
      <w:r w:rsidRPr="0002273D">
        <w:cr/>
      </w:r>
    </w:p>
    <w:p w:rsidR="003206E0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1A5AB0">
        <w:rPr>
          <w:b/>
          <w:color w:val="1F4E79" w:themeColor="accent1" w:themeShade="80"/>
          <w:sz w:val="28"/>
          <w:szCs w:val="28"/>
        </w:rPr>
        <w:t>Povinné přílohy:</w:t>
      </w:r>
    </w:p>
    <w:p w:rsidR="00407280" w:rsidRDefault="00407280" w:rsidP="00407280">
      <w:r>
        <w:t>Uchazeči přikládají do návrhu projektu prostřednictvím ISTA tyto povinné přílohy:</w:t>
      </w:r>
    </w:p>
    <w:p w:rsidR="00407280" w:rsidRDefault="00407280" w:rsidP="00407280">
      <w:pPr>
        <w:pStyle w:val="Odstavecseseznamem"/>
        <w:numPr>
          <w:ilvl w:val="0"/>
          <w:numId w:val="31"/>
        </w:numPr>
      </w:pPr>
      <w:r w:rsidRPr="00813F0E">
        <w:rPr>
          <w:b/>
        </w:rPr>
        <w:t>Smlouva o ustanovení Národního centra kompetence</w:t>
      </w:r>
      <w:r>
        <w:t xml:space="preserve"> - popř. dodatek ke stávající smlouvě již ustanoveného Národního centra kompetence z 1. veřejné soutěže, příloha může být doložena v českém i anglickém jazyce, musí však vždy obsahovat i překlad do jazyka druhého;</w:t>
      </w:r>
    </w:p>
    <w:p w:rsidR="00407280" w:rsidRDefault="00407280" w:rsidP="00407280">
      <w:pPr>
        <w:pStyle w:val="Odstavecseseznamem"/>
        <w:numPr>
          <w:ilvl w:val="0"/>
          <w:numId w:val="32"/>
        </w:numPr>
      </w:pPr>
      <w:r w:rsidRPr="00813F0E">
        <w:rPr>
          <w:b/>
        </w:rPr>
        <w:t>Návrh složení Rady centra</w:t>
      </w:r>
      <w:r>
        <w:t xml:space="preserve"> – </w:t>
      </w:r>
      <w:r w:rsidRPr="00407280">
        <w:rPr>
          <w:i/>
        </w:rPr>
        <w:t>příloha č. 2 - Návrh složení rady centra/</w:t>
      </w:r>
      <w:proofErr w:type="spellStart"/>
      <w:r w:rsidRPr="00407280">
        <w:rPr>
          <w:i/>
        </w:rPr>
        <w:t>Annex</w:t>
      </w:r>
      <w:proofErr w:type="spellEnd"/>
      <w:r w:rsidRPr="00407280">
        <w:rPr>
          <w:i/>
        </w:rPr>
        <w:t xml:space="preserve"> No. 2 – </w:t>
      </w:r>
      <w:proofErr w:type="spellStart"/>
      <w:r w:rsidRPr="00407280">
        <w:rPr>
          <w:i/>
        </w:rPr>
        <w:t>Proposal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for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composition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of</w:t>
      </w:r>
      <w:proofErr w:type="spellEnd"/>
      <w:r w:rsidRPr="00407280">
        <w:rPr>
          <w:i/>
        </w:rPr>
        <w:t xml:space="preserve"> Centre </w:t>
      </w:r>
      <w:proofErr w:type="spellStart"/>
      <w:r w:rsidRPr="00407280">
        <w:rPr>
          <w:i/>
        </w:rPr>
        <w:t>Council</w:t>
      </w:r>
      <w:proofErr w:type="spellEnd"/>
      <w:r>
        <w:t xml:space="preserve"> (povinnost uvést interní a externí osoby včetně organizace - min. 50 % členů externích a adekvátní počet zastoupení zahraničních členů), příloha musí být doložena v anglickém jazyce;</w:t>
      </w:r>
    </w:p>
    <w:p w:rsidR="00407280" w:rsidRDefault="00407280" w:rsidP="00407280">
      <w:pPr>
        <w:pStyle w:val="Odstavecseseznamem"/>
        <w:numPr>
          <w:ilvl w:val="0"/>
          <w:numId w:val="33"/>
        </w:numPr>
      </w:pPr>
      <w:r w:rsidRPr="00813F0E">
        <w:rPr>
          <w:b/>
        </w:rPr>
        <w:t>Příjmy z komercializace</w:t>
      </w:r>
      <w:r>
        <w:t xml:space="preserve"> - vzorová tabulka k příjmům z komercializace je </w:t>
      </w:r>
      <w:r w:rsidRPr="00407280">
        <w:rPr>
          <w:i/>
        </w:rPr>
        <w:t>uvedena v příloze č. 3 - Příjmy z komercializace/</w:t>
      </w:r>
      <w:proofErr w:type="spellStart"/>
      <w:r w:rsidRPr="00407280">
        <w:rPr>
          <w:i/>
        </w:rPr>
        <w:t>Annex</w:t>
      </w:r>
      <w:proofErr w:type="spellEnd"/>
      <w:r w:rsidRPr="00407280">
        <w:rPr>
          <w:i/>
        </w:rPr>
        <w:t xml:space="preserve"> No. 3 - </w:t>
      </w:r>
      <w:proofErr w:type="spellStart"/>
      <w:r w:rsidRPr="00407280">
        <w:rPr>
          <w:i/>
        </w:rPr>
        <w:t>Income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from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commercialisation</w:t>
      </w:r>
      <w:proofErr w:type="spellEnd"/>
      <w:r>
        <w:t>, příloha musí být doložena v anglickém jazyce;</w:t>
      </w:r>
    </w:p>
    <w:p w:rsidR="00813F0E" w:rsidRDefault="00407280" w:rsidP="00407280">
      <w:pPr>
        <w:pStyle w:val="Odstavecseseznamem"/>
        <w:numPr>
          <w:ilvl w:val="0"/>
          <w:numId w:val="34"/>
        </w:numPr>
      </w:pPr>
      <w:r w:rsidRPr="00813F0E">
        <w:rPr>
          <w:b/>
        </w:rPr>
        <w:t>Příloha za výzkumné pracoviště uchazeče</w:t>
      </w:r>
      <w:r>
        <w:t xml:space="preserve"> - povinná příloha za každého uchazeče, ve které je povinnost uvést jednotlivá výzkumná pracoviště a jejich zkušenosti s </w:t>
      </w:r>
      <w:proofErr w:type="spellStart"/>
      <w:r>
        <w:t>VaV</w:t>
      </w:r>
      <w:proofErr w:type="spellEnd"/>
      <w:r>
        <w:t xml:space="preserve"> a komercializací - </w:t>
      </w:r>
      <w:r w:rsidRPr="00407280">
        <w:rPr>
          <w:i/>
        </w:rPr>
        <w:t>Příloha č. 4 - Příloha za pracoviště uchazeče/</w:t>
      </w:r>
      <w:proofErr w:type="spellStart"/>
      <w:r w:rsidRPr="00407280">
        <w:rPr>
          <w:i/>
        </w:rPr>
        <w:t>Annex</w:t>
      </w:r>
      <w:proofErr w:type="spellEnd"/>
      <w:r w:rsidRPr="00407280">
        <w:rPr>
          <w:i/>
        </w:rPr>
        <w:t xml:space="preserve"> No. 4 - </w:t>
      </w:r>
      <w:proofErr w:type="spellStart"/>
      <w:r w:rsidRPr="00407280">
        <w:rPr>
          <w:i/>
        </w:rPr>
        <w:t>Annex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for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applicant's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research</w:t>
      </w:r>
      <w:proofErr w:type="spellEnd"/>
      <w:r w:rsidRPr="00407280">
        <w:rPr>
          <w:i/>
        </w:rPr>
        <w:t xml:space="preserve"> </w:t>
      </w:r>
      <w:proofErr w:type="spellStart"/>
      <w:r w:rsidRPr="00407280">
        <w:rPr>
          <w:i/>
        </w:rPr>
        <w:t>group</w:t>
      </w:r>
      <w:proofErr w:type="spellEnd"/>
      <w:r w:rsidRPr="00407280">
        <w:rPr>
          <w:i/>
        </w:rPr>
        <w:t>(s), příloha musí být doložena v anglickém jazyce;</w:t>
      </w:r>
      <w:r>
        <w:t xml:space="preserve"> </w:t>
      </w:r>
    </w:p>
    <w:p w:rsidR="00813F0E" w:rsidRDefault="00407280" w:rsidP="00407280">
      <w:pPr>
        <w:pStyle w:val="Odstavecseseznamem"/>
        <w:numPr>
          <w:ilvl w:val="0"/>
          <w:numId w:val="34"/>
        </w:numPr>
      </w:pPr>
      <w:r w:rsidRPr="00813F0E">
        <w:rPr>
          <w:b/>
        </w:rPr>
        <w:t>Jednací řád Rady centra</w:t>
      </w:r>
      <w:r>
        <w:t xml:space="preserve"> - příloha musí být doložena v anglickém jazyce;</w:t>
      </w:r>
    </w:p>
    <w:p w:rsidR="00813F0E" w:rsidRDefault="00407280" w:rsidP="00407280">
      <w:pPr>
        <w:pStyle w:val="Odstavecseseznamem"/>
        <w:numPr>
          <w:ilvl w:val="0"/>
          <w:numId w:val="34"/>
        </w:numPr>
      </w:pPr>
      <w:r w:rsidRPr="00813F0E">
        <w:rPr>
          <w:b/>
        </w:rPr>
        <w:t>Strategický výhled a perspektivy v oboru</w:t>
      </w:r>
      <w:r>
        <w:t xml:space="preserve"> - uchazeči popíší strategický výhled a perspektivy</w:t>
      </w:r>
      <w:r w:rsidR="00813F0E">
        <w:t xml:space="preserve"> </w:t>
      </w:r>
      <w:r>
        <w:t>v oboru, na který bude zaměřeno řešení jejich projektů - Příloha č. 5 - Strategický výhled</w:t>
      </w:r>
      <w:r w:rsidR="00813F0E">
        <w:t xml:space="preserve"> </w:t>
      </w:r>
      <w:r>
        <w:t>a perspektivy v oboru/</w:t>
      </w:r>
      <w:proofErr w:type="spellStart"/>
      <w:r>
        <w:t>Annex</w:t>
      </w:r>
      <w:proofErr w:type="spellEnd"/>
      <w:r>
        <w:t xml:space="preserve"> No. 5 -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and </w:t>
      </w:r>
      <w:proofErr w:type="spellStart"/>
      <w:r>
        <w:t>prospects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>, příloha musí</w:t>
      </w:r>
      <w:r w:rsidR="00813F0E">
        <w:t xml:space="preserve"> </w:t>
      </w:r>
      <w:r>
        <w:t>být doložena v anglickém jazyce</w:t>
      </w:r>
      <w:r w:rsidR="00813F0E">
        <w:t>;</w:t>
      </w:r>
    </w:p>
    <w:p w:rsidR="00813F0E" w:rsidRDefault="00813F0E" w:rsidP="00407280">
      <w:pPr>
        <w:pStyle w:val="Odstavecseseznamem"/>
        <w:numPr>
          <w:ilvl w:val="0"/>
          <w:numId w:val="34"/>
        </w:numPr>
      </w:pPr>
      <w:r>
        <w:t>P</w:t>
      </w:r>
      <w:r w:rsidR="003206E0" w:rsidRPr="003206E0">
        <w:t xml:space="preserve">ro typ výsledku </w:t>
      </w:r>
      <w:proofErr w:type="spellStart"/>
      <w:r w:rsidR="003206E0" w:rsidRPr="003206E0">
        <w:t>N</w:t>
      </w:r>
      <w:r w:rsidR="003206E0" w:rsidRPr="00813F0E">
        <w:rPr>
          <w:vertAlign w:val="subscript"/>
        </w:rPr>
        <w:t>metS</w:t>
      </w:r>
      <w:proofErr w:type="spellEnd"/>
      <w:r w:rsidR="003206E0" w:rsidRPr="003206E0">
        <w:t xml:space="preserve"> - </w:t>
      </w:r>
      <w:r w:rsidR="003206E0" w:rsidRPr="00813F0E">
        <w:rPr>
          <w:b/>
        </w:rPr>
        <w:t>Formulář potvrzení zájmu příslušného orgánu státní správy</w:t>
      </w:r>
      <w:r>
        <w:rPr>
          <w:b/>
        </w:rPr>
        <w:t>;</w:t>
      </w:r>
      <w:r w:rsidR="00AD0BCF">
        <w:t xml:space="preserve"> </w:t>
      </w:r>
    </w:p>
    <w:p w:rsidR="003206E0" w:rsidRDefault="00813F0E" w:rsidP="00407280">
      <w:pPr>
        <w:pStyle w:val="Odstavecseseznamem"/>
        <w:numPr>
          <w:ilvl w:val="0"/>
          <w:numId w:val="34"/>
        </w:numPr>
      </w:pPr>
      <w:r>
        <w:t>P</w:t>
      </w:r>
      <w:r w:rsidR="003206E0" w:rsidRPr="003206E0">
        <w:t xml:space="preserve">ro typ výsledku P – </w:t>
      </w:r>
      <w:r w:rsidR="003206E0" w:rsidRPr="00813F0E">
        <w:rPr>
          <w:b/>
        </w:rPr>
        <w:t>Patentová rešerše</w:t>
      </w:r>
      <w:r>
        <w:rPr>
          <w:b/>
        </w:rPr>
        <w:t>;</w:t>
      </w:r>
    </w:p>
    <w:p w:rsidR="00813F0E" w:rsidRPr="00813F0E" w:rsidRDefault="00813F0E" w:rsidP="00813F0E">
      <w:pPr>
        <w:pStyle w:val="Odstavecseseznamem"/>
        <w:numPr>
          <w:ilvl w:val="0"/>
          <w:numId w:val="34"/>
        </w:numPr>
      </w:pPr>
      <w:r>
        <w:t xml:space="preserve">Pro typ výsledku </w:t>
      </w:r>
      <w:proofErr w:type="spellStart"/>
      <w:r w:rsidRPr="00AE688C">
        <w:t>Hneleg</w:t>
      </w:r>
      <w:proofErr w:type="spellEnd"/>
      <w:r w:rsidRPr="00AE688C">
        <w:t xml:space="preserve"> </w:t>
      </w:r>
      <w:r w:rsidRPr="00813F0E">
        <w:t xml:space="preserve">– povinnou přílohou je </w:t>
      </w:r>
      <w:r w:rsidRPr="00813F0E">
        <w:rPr>
          <w:b/>
        </w:rPr>
        <w:t>doložení zájmu budoucího odběratele</w:t>
      </w:r>
      <w:r w:rsidRPr="00813F0E">
        <w:t>;</w:t>
      </w:r>
    </w:p>
    <w:p w:rsidR="00813F0E" w:rsidRDefault="00813F0E" w:rsidP="00813F0E">
      <w:pPr>
        <w:pStyle w:val="Odstavecseseznamem"/>
      </w:pPr>
    </w:p>
    <w:p w:rsidR="000900A1" w:rsidRPr="00813F0E" w:rsidRDefault="000900A1" w:rsidP="00813F0E">
      <w:pPr>
        <w:rPr>
          <w:b/>
          <w:color w:val="1F4E79" w:themeColor="accent1" w:themeShade="80"/>
          <w:sz w:val="28"/>
          <w:szCs w:val="28"/>
        </w:rPr>
      </w:pPr>
      <w:r w:rsidRPr="00813F0E">
        <w:rPr>
          <w:b/>
          <w:color w:val="1F4E79" w:themeColor="accent1" w:themeShade="80"/>
          <w:sz w:val="28"/>
          <w:szCs w:val="28"/>
        </w:rPr>
        <w:t>Hodnocení:</w:t>
      </w:r>
    </w:p>
    <w:p w:rsidR="000900A1" w:rsidRPr="003206E0" w:rsidRDefault="000900A1" w:rsidP="000900A1">
      <w:r>
        <w:t>Hodnocení je složeno z </w:t>
      </w:r>
      <w:r w:rsidR="00813F0E">
        <w:t>1</w:t>
      </w:r>
      <w:r>
        <w:t xml:space="preserve"> binárníh</w:t>
      </w:r>
      <w:r w:rsidR="00813F0E">
        <w:t>o</w:t>
      </w:r>
      <w:r>
        <w:t xml:space="preserve"> kritéri</w:t>
      </w:r>
      <w:r w:rsidR="00813F0E">
        <w:t>a</w:t>
      </w:r>
      <w:r w:rsidR="00F91206">
        <w:t xml:space="preserve"> a</w:t>
      </w:r>
      <w:r>
        <w:t xml:space="preserve"> </w:t>
      </w:r>
      <w:r w:rsidR="00813F0E">
        <w:t>5</w:t>
      </w:r>
      <w:r>
        <w:t xml:space="preserve"> bodovaných kritérií. Bližší informace k hodnotícímu procesu jsou uvedeny ve speciální</w:t>
      </w:r>
      <w:r w:rsidR="00813F0E">
        <w:t xml:space="preserve"> </w:t>
      </w:r>
      <w:hyperlink r:id="rId11" w:history="1">
        <w:r w:rsidR="00813F0E" w:rsidRPr="00813F0E">
          <w:rPr>
            <w:rStyle w:val="Hypertextovodkaz"/>
          </w:rPr>
          <w:t>Příloze č. 1 Hodnotící proces</w:t>
        </w:r>
        <w:r w:rsidRPr="00813F0E">
          <w:rPr>
            <w:rStyle w:val="Hypertextovodkaz"/>
          </w:rPr>
          <w:t xml:space="preserve"> </w:t>
        </w:r>
      </w:hyperlink>
      <w:r w:rsidR="00813F0E">
        <w:t xml:space="preserve"> .</w:t>
      </w:r>
    </w:p>
    <w:sectPr w:rsidR="000900A1" w:rsidRPr="0032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1B"/>
    <w:multiLevelType w:val="hybridMultilevel"/>
    <w:tmpl w:val="09BCF59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534"/>
    <w:multiLevelType w:val="hybridMultilevel"/>
    <w:tmpl w:val="799E3E5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37B"/>
    <w:multiLevelType w:val="hybridMultilevel"/>
    <w:tmpl w:val="DE8635E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8A4"/>
    <w:multiLevelType w:val="hybridMultilevel"/>
    <w:tmpl w:val="C1E8765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63749"/>
    <w:multiLevelType w:val="multilevel"/>
    <w:tmpl w:val="5478E82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E27A11"/>
    <w:multiLevelType w:val="hybridMultilevel"/>
    <w:tmpl w:val="55AC2CA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251C3"/>
    <w:multiLevelType w:val="hybridMultilevel"/>
    <w:tmpl w:val="CDA021A8"/>
    <w:lvl w:ilvl="0" w:tplc="04385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A2DB7"/>
    <w:multiLevelType w:val="hybridMultilevel"/>
    <w:tmpl w:val="13A85B2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51AF4"/>
    <w:multiLevelType w:val="hybridMultilevel"/>
    <w:tmpl w:val="7D72183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215AE"/>
    <w:multiLevelType w:val="hybridMultilevel"/>
    <w:tmpl w:val="BF9C739A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44D0"/>
    <w:multiLevelType w:val="multilevel"/>
    <w:tmpl w:val="576634A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AB9288E"/>
    <w:multiLevelType w:val="hybridMultilevel"/>
    <w:tmpl w:val="215895E8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616E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1BA61D2"/>
    <w:multiLevelType w:val="hybridMultilevel"/>
    <w:tmpl w:val="E9FE613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702EC"/>
    <w:multiLevelType w:val="hybridMultilevel"/>
    <w:tmpl w:val="789C790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B060A"/>
    <w:multiLevelType w:val="hybridMultilevel"/>
    <w:tmpl w:val="C4FC7DA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F071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2A0"/>
    <w:multiLevelType w:val="hybridMultilevel"/>
    <w:tmpl w:val="27BA531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161E4"/>
    <w:multiLevelType w:val="hybridMultilevel"/>
    <w:tmpl w:val="758CD9E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05B"/>
    <w:multiLevelType w:val="hybridMultilevel"/>
    <w:tmpl w:val="E452D1AE"/>
    <w:lvl w:ilvl="0" w:tplc="BCD4A0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10"/>
  </w:num>
  <w:num w:numId="5">
    <w:abstractNumId w:val="12"/>
  </w:num>
  <w:num w:numId="6">
    <w:abstractNumId w:val="15"/>
  </w:num>
  <w:num w:numId="7">
    <w:abstractNumId w:val="32"/>
  </w:num>
  <w:num w:numId="8">
    <w:abstractNumId w:val="13"/>
  </w:num>
  <w:num w:numId="9">
    <w:abstractNumId w:val="19"/>
  </w:num>
  <w:num w:numId="10">
    <w:abstractNumId w:val="5"/>
  </w:num>
  <w:num w:numId="11">
    <w:abstractNumId w:val="28"/>
  </w:num>
  <w:num w:numId="12">
    <w:abstractNumId w:val="2"/>
  </w:num>
  <w:num w:numId="13">
    <w:abstractNumId w:val="33"/>
  </w:num>
  <w:num w:numId="14">
    <w:abstractNumId w:val="6"/>
  </w:num>
  <w:num w:numId="15">
    <w:abstractNumId w:val="23"/>
  </w:num>
  <w:num w:numId="16">
    <w:abstractNumId w:val="0"/>
  </w:num>
  <w:num w:numId="17">
    <w:abstractNumId w:val="31"/>
  </w:num>
  <w:num w:numId="18">
    <w:abstractNumId w:val="21"/>
  </w:num>
  <w:num w:numId="19">
    <w:abstractNumId w:val="3"/>
  </w:num>
  <w:num w:numId="20">
    <w:abstractNumId w:val="1"/>
  </w:num>
  <w:num w:numId="21">
    <w:abstractNumId w:val="22"/>
  </w:num>
  <w:num w:numId="22">
    <w:abstractNumId w:val="9"/>
  </w:num>
  <w:num w:numId="23">
    <w:abstractNumId w:val="20"/>
  </w:num>
  <w:num w:numId="24">
    <w:abstractNumId w:val="27"/>
  </w:num>
  <w:num w:numId="25">
    <w:abstractNumId w:val="7"/>
  </w:num>
  <w:num w:numId="26">
    <w:abstractNumId w:val="18"/>
  </w:num>
  <w:num w:numId="27">
    <w:abstractNumId w:val="17"/>
  </w:num>
  <w:num w:numId="28">
    <w:abstractNumId w:val="8"/>
  </w:num>
  <w:num w:numId="29">
    <w:abstractNumId w:val="30"/>
  </w:num>
  <w:num w:numId="30">
    <w:abstractNumId w:val="29"/>
  </w:num>
  <w:num w:numId="31">
    <w:abstractNumId w:val="4"/>
  </w:num>
  <w:num w:numId="32">
    <w:abstractNumId w:val="16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2273D"/>
    <w:rsid w:val="000531D0"/>
    <w:rsid w:val="000900A1"/>
    <w:rsid w:val="001A5AB0"/>
    <w:rsid w:val="00236277"/>
    <w:rsid w:val="002425FA"/>
    <w:rsid w:val="00294F2E"/>
    <w:rsid w:val="002D1982"/>
    <w:rsid w:val="003206E0"/>
    <w:rsid w:val="00407280"/>
    <w:rsid w:val="0041403E"/>
    <w:rsid w:val="00563DF1"/>
    <w:rsid w:val="0057770F"/>
    <w:rsid w:val="00583C88"/>
    <w:rsid w:val="005E71F4"/>
    <w:rsid w:val="005F4E49"/>
    <w:rsid w:val="00686E27"/>
    <w:rsid w:val="006A5CBC"/>
    <w:rsid w:val="00760FE8"/>
    <w:rsid w:val="007628A7"/>
    <w:rsid w:val="007C2781"/>
    <w:rsid w:val="007E14F2"/>
    <w:rsid w:val="007E344D"/>
    <w:rsid w:val="00813F0E"/>
    <w:rsid w:val="00837080"/>
    <w:rsid w:val="00850853"/>
    <w:rsid w:val="00894BEB"/>
    <w:rsid w:val="009D52CC"/>
    <w:rsid w:val="009D66C6"/>
    <w:rsid w:val="00A1601F"/>
    <w:rsid w:val="00A72B7D"/>
    <w:rsid w:val="00A902BD"/>
    <w:rsid w:val="00AD0BCF"/>
    <w:rsid w:val="00AE688C"/>
    <w:rsid w:val="00AF3498"/>
    <w:rsid w:val="00C10D9F"/>
    <w:rsid w:val="00C4569A"/>
    <w:rsid w:val="00CA65B4"/>
    <w:rsid w:val="00CB6D62"/>
    <w:rsid w:val="00CC39C8"/>
    <w:rsid w:val="00D658FB"/>
    <w:rsid w:val="00D66035"/>
    <w:rsid w:val="00DC372A"/>
    <w:rsid w:val="00DD097B"/>
    <w:rsid w:val="00E16007"/>
    <w:rsid w:val="00E93732"/>
    <w:rsid w:val="00EB3EF0"/>
    <w:rsid w:val="00EB56DC"/>
    <w:rsid w:val="00F148C0"/>
    <w:rsid w:val="00F91206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soutez/program-narodni-centra-kompetence/druha-verejna-soutez-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wp-content/uploads/documents/2021/12/15/1639575223_P%C5%99%C3%ADloha%20%C4%8D.%201%20-%20Hodnotic%C3%AD%20proces.pdf" TargetMode="External"/><Relationship Id="rId5" Type="http://schemas.openxmlformats.org/officeDocument/2006/relationships/hyperlink" Target="mailto:legatova@vutbr.cz" TargetMode="External"/><Relationship Id="rId10" Type="http://schemas.openxmlformats.org/officeDocument/2006/relationships/hyperlink" Target="https://ista.tacr.cz/ISTA/action/Dashboard/ExternalNew/?actionId=4396311232625115&amp;ts=1618409983006&amp;hash=b+/wcP7Y8IGU1RkRhz37cXn5Y/ub2EB46M5pPdMyoEc=&amp;nbl=true&amp;uselastresult=true&amp;_browserSessionID=&amp;la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r.cz/dokumenty/formular-pro-druh-vysledku-nmets-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 Vavrečková</cp:lastModifiedBy>
  <cp:revision>2</cp:revision>
  <dcterms:created xsi:type="dcterms:W3CDTF">2021-12-20T10:32:00Z</dcterms:created>
  <dcterms:modified xsi:type="dcterms:W3CDTF">2021-12-20T10:32:00Z</dcterms:modified>
</cp:coreProperties>
</file>