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D69" w:rsidRPr="00372D69" w:rsidRDefault="00D67131" w:rsidP="00372D69">
      <w:pPr>
        <w:rPr>
          <w:rStyle w:val="subheading-category1"/>
          <w:b/>
          <w:caps w:val="0"/>
          <w:color w:val="0070C0"/>
          <w:sz w:val="36"/>
          <w:szCs w:val="36"/>
        </w:rPr>
      </w:pPr>
      <w:bookmarkStart w:id="0" w:name="_GoBack"/>
      <w:bookmarkEnd w:id="0"/>
      <w:r>
        <w:rPr>
          <w:rStyle w:val="subheading-category1"/>
          <w:b/>
          <w:caps w:val="0"/>
          <w:color w:val="0070C0"/>
          <w:sz w:val="36"/>
          <w:szCs w:val="36"/>
        </w:rPr>
        <w:t>CHIST ERA</w:t>
      </w:r>
      <w:r w:rsidR="00C86BCA">
        <w:rPr>
          <w:rStyle w:val="subheading-category1"/>
          <w:b/>
          <w:caps w:val="0"/>
          <w:color w:val="0070C0"/>
          <w:sz w:val="36"/>
          <w:szCs w:val="36"/>
        </w:rPr>
        <w:t xml:space="preserve"> Call 2021</w:t>
      </w:r>
    </w:p>
    <w:p w:rsidR="00240BAB" w:rsidRDefault="00240BAB" w:rsidP="0057770F"/>
    <w:p w:rsidR="0057770F" w:rsidRPr="00372D69" w:rsidRDefault="0057770F" w:rsidP="0057770F">
      <w:pPr>
        <w:rPr>
          <w:b/>
          <w:color w:val="1F4E79" w:themeColor="accent1" w:themeShade="80"/>
          <w:sz w:val="28"/>
          <w:szCs w:val="28"/>
        </w:rPr>
      </w:pPr>
      <w:r w:rsidRPr="00372D69">
        <w:rPr>
          <w:b/>
          <w:color w:val="1F4E79" w:themeColor="accent1" w:themeShade="80"/>
          <w:sz w:val="28"/>
          <w:szCs w:val="28"/>
        </w:rPr>
        <w:t>Důležité termíny:</w:t>
      </w:r>
    </w:p>
    <w:p w:rsidR="0057770F" w:rsidRPr="00E36A22" w:rsidRDefault="0057770F" w:rsidP="007C2781">
      <w:pPr>
        <w:spacing w:line="240" w:lineRule="auto"/>
        <w:rPr>
          <w:b/>
        </w:rPr>
      </w:pPr>
      <w:r w:rsidRPr="00E36A22">
        <w:t xml:space="preserve">Soutěžní lhůta začíná: </w:t>
      </w:r>
      <w:r w:rsidR="00E071A8" w:rsidRPr="00E071A8">
        <w:rPr>
          <w:b/>
        </w:rPr>
        <w:t>8.</w:t>
      </w:r>
      <w:r w:rsidR="00E071A8">
        <w:rPr>
          <w:b/>
        </w:rPr>
        <w:t xml:space="preserve"> </w:t>
      </w:r>
      <w:r w:rsidR="00E071A8" w:rsidRPr="00E071A8">
        <w:rPr>
          <w:b/>
        </w:rPr>
        <w:t>11</w:t>
      </w:r>
      <w:r w:rsidR="00C86BCA" w:rsidRPr="00E071A8">
        <w:rPr>
          <w:b/>
        </w:rPr>
        <w:t>.</w:t>
      </w:r>
      <w:r w:rsidR="00E071A8">
        <w:rPr>
          <w:b/>
        </w:rPr>
        <w:t xml:space="preserve"> </w:t>
      </w:r>
      <w:r w:rsidR="00C86BCA" w:rsidRPr="00E36A22">
        <w:rPr>
          <w:b/>
        </w:rPr>
        <w:t>2021</w:t>
      </w:r>
    </w:p>
    <w:p w:rsidR="005C0527" w:rsidRPr="00E36A22" w:rsidRDefault="0057770F" w:rsidP="007C2781">
      <w:pPr>
        <w:spacing w:line="240" w:lineRule="auto"/>
      </w:pPr>
      <w:r w:rsidRPr="00E36A22">
        <w:t>Soutěžní lhůta</w:t>
      </w:r>
      <w:r w:rsidR="006F468F" w:rsidRPr="00E36A22">
        <w:t xml:space="preserve"> pro podání žádosti</w:t>
      </w:r>
      <w:r w:rsidR="00E36A22" w:rsidRPr="00E36A22">
        <w:t xml:space="preserve"> (</w:t>
      </w:r>
      <w:proofErr w:type="spellStart"/>
      <w:r w:rsidR="00E36A22" w:rsidRPr="00E36A22">
        <w:t>proposals</w:t>
      </w:r>
      <w:proofErr w:type="spellEnd"/>
      <w:r w:rsidR="00E36A22" w:rsidRPr="00E36A22">
        <w:t>)</w:t>
      </w:r>
      <w:r w:rsidRPr="00E36A22">
        <w:t xml:space="preserve"> končí: </w:t>
      </w:r>
      <w:r w:rsidR="00E071A8">
        <w:rPr>
          <w:b/>
        </w:rPr>
        <w:t>17. 1. 2022</w:t>
      </w:r>
      <w:r w:rsidR="00E36A22" w:rsidRPr="00E36A22">
        <w:rPr>
          <w:b/>
        </w:rPr>
        <w:t>v 1</w:t>
      </w:r>
      <w:r w:rsidR="00E071A8">
        <w:rPr>
          <w:b/>
        </w:rPr>
        <w:t>7</w:t>
      </w:r>
      <w:r w:rsidR="00E36A22" w:rsidRPr="00E36A22">
        <w:rPr>
          <w:b/>
        </w:rPr>
        <w:t xml:space="preserve"> hodin</w:t>
      </w:r>
      <w:r w:rsidRPr="00E36A22">
        <w:t xml:space="preserve">; </w:t>
      </w:r>
    </w:p>
    <w:p w:rsidR="00894BEB" w:rsidRPr="0049637A" w:rsidRDefault="00894BEB" w:rsidP="007C2781">
      <w:pPr>
        <w:spacing w:line="240" w:lineRule="auto"/>
        <w:rPr>
          <w:b/>
        </w:rPr>
      </w:pPr>
      <w:r w:rsidRPr="00E36A22">
        <w:t>Vyhlášení výsledků soutěže:</w:t>
      </w:r>
      <w:r w:rsidRPr="00E36A22">
        <w:rPr>
          <w:b/>
        </w:rPr>
        <w:t xml:space="preserve"> </w:t>
      </w:r>
      <w:r w:rsidR="00E071A8">
        <w:rPr>
          <w:b/>
        </w:rPr>
        <w:t>červen</w:t>
      </w:r>
      <w:r w:rsidR="00C86BCA" w:rsidRPr="00E36A22">
        <w:rPr>
          <w:b/>
        </w:rPr>
        <w:t xml:space="preserve"> 2022</w:t>
      </w:r>
    </w:p>
    <w:p w:rsidR="00894BEB" w:rsidRPr="00BD7394" w:rsidRDefault="00894BEB" w:rsidP="007C2781">
      <w:pPr>
        <w:spacing w:line="240" w:lineRule="auto"/>
        <w:rPr>
          <w:b/>
        </w:rPr>
      </w:pPr>
      <w:r w:rsidRPr="0085030B">
        <w:t xml:space="preserve">Zahájení </w:t>
      </w:r>
      <w:r w:rsidR="004D705E">
        <w:t>řešení projektu</w:t>
      </w:r>
      <w:r w:rsidRPr="0085030B">
        <w:t>:</w:t>
      </w:r>
      <w:r w:rsidRPr="0085030B">
        <w:rPr>
          <w:b/>
        </w:rPr>
        <w:t xml:space="preserve"> </w:t>
      </w:r>
      <w:r w:rsidR="00AF7C43">
        <w:rPr>
          <w:b/>
        </w:rPr>
        <w:t xml:space="preserve">od </w:t>
      </w:r>
      <w:r w:rsidR="0085030B" w:rsidRPr="0085030B">
        <w:rPr>
          <w:b/>
        </w:rPr>
        <w:t>1.</w:t>
      </w:r>
      <w:r w:rsidR="00AF7C43">
        <w:rPr>
          <w:b/>
        </w:rPr>
        <w:t xml:space="preserve"> </w:t>
      </w:r>
      <w:r w:rsidR="0085030B" w:rsidRPr="0085030B">
        <w:rPr>
          <w:b/>
        </w:rPr>
        <w:t>1</w:t>
      </w:r>
      <w:r w:rsidR="004D705E">
        <w:rPr>
          <w:b/>
        </w:rPr>
        <w:t>0</w:t>
      </w:r>
      <w:r w:rsidR="0085030B" w:rsidRPr="0085030B">
        <w:rPr>
          <w:b/>
        </w:rPr>
        <w:t>.</w:t>
      </w:r>
      <w:r w:rsidR="00AF7C43">
        <w:rPr>
          <w:b/>
        </w:rPr>
        <w:t xml:space="preserve"> </w:t>
      </w:r>
      <w:r w:rsidR="0085030B" w:rsidRPr="0085030B">
        <w:rPr>
          <w:b/>
        </w:rPr>
        <w:t>202</w:t>
      </w:r>
      <w:r w:rsidR="004D705E">
        <w:rPr>
          <w:b/>
        </w:rPr>
        <w:t>2</w:t>
      </w:r>
      <w:r w:rsidR="00240BAB" w:rsidRPr="00BD7394">
        <w:rPr>
          <w:b/>
        </w:rPr>
        <w:t xml:space="preserve"> </w:t>
      </w:r>
    </w:p>
    <w:p w:rsidR="0062316E" w:rsidRPr="00372D69" w:rsidRDefault="0062316E" w:rsidP="0057770F">
      <w:pPr>
        <w:rPr>
          <w:b/>
          <w:highlight w:val="yellow"/>
        </w:rPr>
      </w:pPr>
    </w:p>
    <w:p w:rsidR="004A1956" w:rsidRPr="00372D69" w:rsidRDefault="004A1956" w:rsidP="0057770F">
      <w:pPr>
        <w:rPr>
          <w:b/>
          <w:color w:val="1F4E79" w:themeColor="accent1" w:themeShade="80"/>
          <w:sz w:val="28"/>
          <w:szCs w:val="28"/>
        </w:rPr>
      </w:pPr>
      <w:r w:rsidRPr="00372D69">
        <w:rPr>
          <w:b/>
          <w:color w:val="1F4E79" w:themeColor="accent1" w:themeShade="80"/>
          <w:sz w:val="28"/>
          <w:szCs w:val="28"/>
        </w:rPr>
        <w:t>Kontaktní osoby:</w:t>
      </w:r>
    </w:p>
    <w:p w:rsidR="004A1956" w:rsidRPr="00372D69" w:rsidRDefault="00E30C7E" w:rsidP="0057770F">
      <w:pPr>
        <w:rPr>
          <w:b/>
        </w:rPr>
      </w:pPr>
      <w:r w:rsidRPr="00372D69">
        <w:rPr>
          <w:b/>
        </w:rPr>
        <w:t>S</w:t>
      </w:r>
      <w:r w:rsidR="004A1956" w:rsidRPr="00372D69">
        <w:rPr>
          <w:b/>
        </w:rPr>
        <w:t>outěž TAČR na VUT Brno – Ing. Martina Legátová (</w:t>
      </w:r>
      <w:hyperlink r:id="rId6" w:history="1">
        <w:r w:rsidR="00AF7C43" w:rsidRPr="00795157">
          <w:rPr>
            <w:rStyle w:val="Hypertextovodkaz"/>
            <w:b/>
          </w:rPr>
          <w:t>legatova@vutbr.cz</w:t>
        </w:r>
      </w:hyperlink>
      <w:r w:rsidR="004A1956" w:rsidRPr="00372D69">
        <w:rPr>
          <w:b/>
        </w:rPr>
        <w:t>, kl. 5237)</w:t>
      </w:r>
    </w:p>
    <w:p w:rsidR="004A1956" w:rsidRPr="00372D69" w:rsidRDefault="004A1956" w:rsidP="0057770F">
      <w:pPr>
        <w:rPr>
          <w:b/>
        </w:rPr>
      </w:pPr>
      <w:r w:rsidRPr="00372D69">
        <w:rPr>
          <w:b/>
        </w:rPr>
        <w:t xml:space="preserve">Duševní vlastnictví, konzultace </w:t>
      </w:r>
      <w:r w:rsidR="004411C6" w:rsidRPr="00372D69">
        <w:rPr>
          <w:b/>
        </w:rPr>
        <w:t xml:space="preserve">konsorciální </w:t>
      </w:r>
      <w:r w:rsidRPr="00372D69">
        <w:rPr>
          <w:b/>
        </w:rPr>
        <w:t>smlouvy mezi uchazeči</w:t>
      </w:r>
      <w:r w:rsidR="00474F9B" w:rsidRPr="00372D69">
        <w:rPr>
          <w:b/>
        </w:rPr>
        <w:t>,</w:t>
      </w:r>
      <w:r w:rsidRPr="00372D69">
        <w:rPr>
          <w:b/>
        </w:rPr>
        <w:t xml:space="preserve"> OTT </w:t>
      </w:r>
      <w:r w:rsidR="00AF7C43">
        <w:rPr>
          <w:b/>
        </w:rPr>
        <w:t>– Michaela Daňková</w:t>
      </w:r>
      <w:r w:rsidRPr="00372D69">
        <w:rPr>
          <w:b/>
        </w:rPr>
        <w:t xml:space="preserve"> (</w:t>
      </w:r>
      <w:hyperlink r:id="rId7" w:history="1">
        <w:r w:rsidR="00C86BCA" w:rsidRPr="00795157">
          <w:rPr>
            <w:rStyle w:val="Hypertextovodkaz"/>
          </w:rPr>
          <w:t xml:space="preserve">dankovam@vutbr.cz </w:t>
        </w:r>
      </w:hyperlink>
      <w:r w:rsidRPr="00372D69">
        <w:rPr>
          <w:b/>
        </w:rPr>
        <w:t>, kl. 422</w:t>
      </w:r>
      <w:r w:rsidR="00C86BCA">
        <w:rPr>
          <w:b/>
        </w:rPr>
        <w:t>8</w:t>
      </w:r>
      <w:r w:rsidRPr="00372D69">
        <w:rPr>
          <w:b/>
        </w:rPr>
        <w:t>)</w:t>
      </w:r>
    </w:p>
    <w:p w:rsidR="00A70CA5" w:rsidRPr="00372D69" w:rsidRDefault="00A70CA5" w:rsidP="0057770F">
      <w:pPr>
        <w:rPr>
          <w:b/>
        </w:rPr>
      </w:pPr>
      <w:r w:rsidRPr="00372D69">
        <w:rPr>
          <w:b/>
        </w:rPr>
        <w:t>Otázka DPH v projektech TAČR – Ing. Romana Sasková (</w:t>
      </w:r>
      <w:hyperlink r:id="rId8" w:history="1">
        <w:r w:rsidR="00C86BCA" w:rsidRPr="00795157">
          <w:rPr>
            <w:rStyle w:val="Hypertextovodkaz"/>
            <w:b/>
          </w:rPr>
          <w:t>saskova@vutbr.cz</w:t>
        </w:r>
      </w:hyperlink>
      <w:r w:rsidRPr="00372D69">
        <w:rPr>
          <w:b/>
        </w:rPr>
        <w:t>, kl. 5356)</w:t>
      </w:r>
    </w:p>
    <w:p w:rsidR="005962B5" w:rsidRPr="00372D69" w:rsidRDefault="005962B5" w:rsidP="0057770F">
      <w:pPr>
        <w:rPr>
          <w:b/>
          <w:highlight w:val="yellow"/>
        </w:rPr>
      </w:pPr>
    </w:p>
    <w:p w:rsidR="00C10D9F" w:rsidRPr="00372D69" w:rsidRDefault="00C10D9F" w:rsidP="0057770F">
      <w:pPr>
        <w:rPr>
          <w:b/>
          <w:color w:val="1F4E79" w:themeColor="accent1" w:themeShade="80"/>
          <w:sz w:val="28"/>
          <w:szCs w:val="28"/>
        </w:rPr>
      </w:pPr>
      <w:r w:rsidRPr="00372D69">
        <w:rPr>
          <w:b/>
          <w:color w:val="1F4E79" w:themeColor="accent1" w:themeShade="80"/>
          <w:sz w:val="28"/>
          <w:szCs w:val="28"/>
        </w:rPr>
        <w:t>Odkaz na soutěž:</w:t>
      </w:r>
    </w:p>
    <w:p w:rsidR="00E071A8" w:rsidRDefault="00747055" w:rsidP="00D32D3A">
      <w:hyperlink r:id="rId9" w:history="1">
        <w:r w:rsidR="00E071A8" w:rsidRPr="005C290C">
          <w:rPr>
            <w:rStyle w:val="Hypertextovodkaz"/>
          </w:rPr>
          <w:t>https://www.tacr.cz/soutez/chist-era/call-2021-6/</w:t>
        </w:r>
      </w:hyperlink>
    </w:p>
    <w:p w:rsidR="004D705E" w:rsidRDefault="00747055" w:rsidP="00D32D3A">
      <w:hyperlink r:id="rId10" w:history="1">
        <w:r w:rsidR="004D705E" w:rsidRPr="005C290C">
          <w:rPr>
            <w:rStyle w:val="Hypertextovodkaz"/>
          </w:rPr>
          <w:t>www.chistera.eu</w:t>
        </w:r>
      </w:hyperlink>
      <w:r w:rsidR="004D705E">
        <w:t xml:space="preserve"> </w:t>
      </w:r>
    </w:p>
    <w:p w:rsidR="00E071A8" w:rsidRDefault="00E071A8" w:rsidP="00D32D3A">
      <w:pPr>
        <w:rPr>
          <w:b/>
          <w:color w:val="1F4E79" w:themeColor="accent1" w:themeShade="80"/>
          <w:sz w:val="28"/>
          <w:szCs w:val="28"/>
        </w:rPr>
      </w:pPr>
    </w:p>
    <w:p w:rsidR="00D32D3A" w:rsidRPr="00372D69" w:rsidRDefault="00D32D3A" w:rsidP="00D32D3A">
      <w:pPr>
        <w:rPr>
          <w:b/>
          <w:color w:val="1F4E79" w:themeColor="accent1" w:themeShade="80"/>
          <w:sz w:val="28"/>
          <w:szCs w:val="28"/>
        </w:rPr>
      </w:pPr>
      <w:r w:rsidRPr="00372D69">
        <w:rPr>
          <w:b/>
          <w:color w:val="1F4E79" w:themeColor="accent1" w:themeShade="80"/>
          <w:sz w:val="28"/>
          <w:szCs w:val="28"/>
        </w:rPr>
        <w:t>Základní finanční údaje</w:t>
      </w:r>
    </w:p>
    <w:p w:rsidR="00D32D3A" w:rsidRDefault="00D32D3A" w:rsidP="00D32D3A">
      <w:pPr>
        <w:spacing w:line="100" w:lineRule="atLeast"/>
        <w:rPr>
          <w:b/>
          <w:color w:val="FF0000"/>
        </w:rPr>
      </w:pPr>
      <w:r w:rsidRPr="00372D69">
        <w:t xml:space="preserve">Alokace soutěže </w:t>
      </w:r>
      <w:r w:rsidR="00E66ADA">
        <w:rPr>
          <w:b/>
          <w:color w:val="FF0000"/>
        </w:rPr>
        <w:t>7</w:t>
      </w:r>
      <w:r w:rsidR="00E071A8">
        <w:rPr>
          <w:b/>
          <w:color w:val="FF0000"/>
        </w:rPr>
        <w:t>5</w:t>
      </w:r>
      <w:r w:rsidR="00E66ADA">
        <w:rPr>
          <w:b/>
          <w:color w:val="FF0000"/>
        </w:rPr>
        <w:t>0 000</w:t>
      </w:r>
      <w:r w:rsidR="00240BAB" w:rsidRPr="00372D69">
        <w:rPr>
          <w:b/>
          <w:color w:val="FF0000"/>
        </w:rPr>
        <w:t xml:space="preserve"> EUR</w:t>
      </w:r>
    </w:p>
    <w:p w:rsidR="008B7725" w:rsidRPr="00372D69" w:rsidRDefault="008B7725" w:rsidP="00D32D3A">
      <w:pPr>
        <w:spacing w:line="100" w:lineRule="atLeast"/>
        <w:rPr>
          <w:b/>
          <w:color w:val="FF0000"/>
        </w:rPr>
      </w:pPr>
      <w:r w:rsidRPr="008B7725">
        <w:t>Maximální výše podpory na jeden projekt</w:t>
      </w:r>
      <w:r w:rsidRPr="008B7725">
        <w:rPr>
          <w:b/>
        </w:rPr>
        <w:t xml:space="preserve"> </w:t>
      </w:r>
      <w:r>
        <w:rPr>
          <w:b/>
          <w:color w:val="FF0000"/>
        </w:rPr>
        <w:t>750 000 EUR</w:t>
      </w:r>
    </w:p>
    <w:p w:rsidR="00D32D3A" w:rsidRPr="00372D69" w:rsidRDefault="00D32D3A" w:rsidP="00D32D3A">
      <w:pPr>
        <w:spacing w:line="100" w:lineRule="atLeast"/>
        <w:rPr>
          <w:b/>
        </w:rPr>
      </w:pPr>
      <w:r w:rsidRPr="00372D69">
        <w:t xml:space="preserve">Maximální intenzita podpory na </w:t>
      </w:r>
      <w:r w:rsidR="00E66ADA">
        <w:t>českou stranu</w:t>
      </w:r>
      <w:r w:rsidRPr="00372D69">
        <w:t>:</w:t>
      </w:r>
      <w:r w:rsidR="00240BAB" w:rsidRPr="00372D69">
        <w:t xml:space="preserve"> </w:t>
      </w:r>
      <w:r w:rsidR="00156DFD">
        <w:rPr>
          <w:b/>
        </w:rPr>
        <w:t>8</w:t>
      </w:r>
      <w:r w:rsidR="00E66ADA">
        <w:rPr>
          <w:b/>
        </w:rPr>
        <w:t>5</w:t>
      </w:r>
      <w:r w:rsidR="00240BAB" w:rsidRPr="00372D69">
        <w:rPr>
          <w:b/>
        </w:rPr>
        <w:t>%</w:t>
      </w:r>
      <w:r w:rsidR="0003296A" w:rsidRPr="00372D69">
        <w:rPr>
          <w:b/>
        </w:rPr>
        <w:t xml:space="preserve"> </w:t>
      </w:r>
    </w:p>
    <w:p w:rsidR="00734728" w:rsidRPr="00372D69" w:rsidRDefault="00734728" w:rsidP="00D32D3A">
      <w:pPr>
        <w:spacing w:line="100" w:lineRule="atLeast"/>
        <w:rPr>
          <w:color w:val="FF0000"/>
        </w:rPr>
      </w:pPr>
      <w:r w:rsidRPr="00372D69">
        <w:rPr>
          <w:b/>
          <w:color w:val="FF0000"/>
        </w:rPr>
        <w:t xml:space="preserve">Výzkumná organizace má také maximální intenzitu podpory na projekt </w:t>
      </w:r>
      <w:r w:rsidR="00156DFD">
        <w:rPr>
          <w:b/>
          <w:color w:val="FF0000"/>
        </w:rPr>
        <w:t>100</w:t>
      </w:r>
      <w:r w:rsidRPr="00372D69">
        <w:rPr>
          <w:b/>
          <w:color w:val="FF0000"/>
        </w:rPr>
        <w:t>%.</w:t>
      </w:r>
    </w:p>
    <w:p w:rsidR="00372D69" w:rsidRDefault="00372D69" w:rsidP="0057770F">
      <w:pPr>
        <w:rPr>
          <w:b/>
          <w:color w:val="1F4E79" w:themeColor="accent1" w:themeShade="80"/>
          <w:sz w:val="28"/>
          <w:szCs w:val="28"/>
          <w:highlight w:val="yellow"/>
        </w:rPr>
      </w:pPr>
    </w:p>
    <w:p w:rsidR="00350D3D" w:rsidRDefault="00474F9B" w:rsidP="0057770F">
      <w:pPr>
        <w:rPr>
          <w:b/>
          <w:color w:val="1F4E79" w:themeColor="accent1" w:themeShade="80"/>
          <w:sz w:val="28"/>
          <w:szCs w:val="28"/>
        </w:rPr>
      </w:pPr>
      <w:r w:rsidRPr="008735D5">
        <w:rPr>
          <w:b/>
          <w:color w:val="1F4E79" w:themeColor="accent1" w:themeShade="80"/>
          <w:sz w:val="28"/>
          <w:szCs w:val="28"/>
        </w:rPr>
        <w:t>Zaměření programu:</w:t>
      </w:r>
    </w:p>
    <w:p w:rsidR="00E25555" w:rsidRDefault="004D705E" w:rsidP="004D705E">
      <w:pPr>
        <w:pStyle w:val="Odstavecseseznamem"/>
        <w:numPr>
          <w:ilvl w:val="0"/>
          <w:numId w:val="44"/>
        </w:numPr>
      </w:pPr>
      <w:proofErr w:type="spellStart"/>
      <w:r>
        <w:t>Nano-Opto-Electro-Mechanical</w:t>
      </w:r>
      <w:proofErr w:type="spellEnd"/>
      <w:r>
        <w:t xml:space="preserve"> Systems </w:t>
      </w:r>
      <w:proofErr w:type="spellStart"/>
      <w:r>
        <w:t>for</w:t>
      </w:r>
      <w:proofErr w:type="spellEnd"/>
      <w:r>
        <w:t xml:space="preserve"> ICT (NOEMS)</w:t>
      </w:r>
    </w:p>
    <w:p w:rsidR="004D705E" w:rsidRDefault="004D705E" w:rsidP="004D705E">
      <w:pPr>
        <w:pStyle w:val="Odstavecseseznamem"/>
        <w:numPr>
          <w:ilvl w:val="0"/>
          <w:numId w:val="44"/>
        </w:numPr>
      </w:pPr>
      <w:proofErr w:type="spellStart"/>
      <w:r>
        <w:t>Foundations</w:t>
      </w:r>
      <w:proofErr w:type="spellEnd"/>
      <w:r>
        <w:t xml:space="preserve"> </w:t>
      </w:r>
      <w:proofErr w:type="spellStart"/>
      <w:r>
        <w:t>for</w:t>
      </w:r>
      <w:proofErr w:type="spellEnd"/>
      <w:r>
        <w:t xml:space="preserve"> </w:t>
      </w:r>
      <w:proofErr w:type="spellStart"/>
      <w:r>
        <w:t>Misbehaviour</w:t>
      </w:r>
      <w:proofErr w:type="spellEnd"/>
      <w:r>
        <w:t xml:space="preserve"> </w:t>
      </w:r>
      <w:proofErr w:type="spellStart"/>
      <w:r>
        <w:t>Detection</w:t>
      </w:r>
      <w:proofErr w:type="spellEnd"/>
      <w:r>
        <w:t xml:space="preserve"> and </w:t>
      </w:r>
      <w:proofErr w:type="spellStart"/>
      <w:r>
        <w:t>Mitigation</w:t>
      </w:r>
      <w:proofErr w:type="spellEnd"/>
      <w:r>
        <w:t xml:space="preserve"> </w:t>
      </w:r>
      <w:proofErr w:type="spellStart"/>
      <w:r>
        <w:t>Strategies</w:t>
      </w:r>
      <w:proofErr w:type="spellEnd"/>
      <w:r>
        <w:t xml:space="preserve"> in Online </w:t>
      </w:r>
      <w:proofErr w:type="spellStart"/>
      <w:r>
        <w:t>Social</w:t>
      </w:r>
      <w:proofErr w:type="spellEnd"/>
      <w:r>
        <w:t xml:space="preserve"> </w:t>
      </w:r>
      <w:proofErr w:type="spellStart"/>
      <w:r>
        <w:t>Networks</w:t>
      </w:r>
      <w:proofErr w:type="spellEnd"/>
      <w:r>
        <w:t xml:space="preserve"> and Media (OSNEM)</w:t>
      </w:r>
    </w:p>
    <w:p w:rsidR="004D705E" w:rsidRPr="008735D5" w:rsidRDefault="004D705E" w:rsidP="009E3754"/>
    <w:p w:rsidR="0057770F" w:rsidRDefault="0057770F" w:rsidP="0057770F">
      <w:pPr>
        <w:rPr>
          <w:b/>
          <w:color w:val="1F4E79" w:themeColor="accent1" w:themeShade="80"/>
          <w:sz w:val="28"/>
          <w:szCs w:val="28"/>
        </w:rPr>
      </w:pPr>
      <w:r w:rsidRPr="00372D69">
        <w:rPr>
          <w:b/>
          <w:color w:val="1F4E79" w:themeColor="accent1" w:themeShade="80"/>
          <w:sz w:val="28"/>
          <w:szCs w:val="28"/>
        </w:rPr>
        <w:t>Uchazeči:</w:t>
      </w:r>
    </w:p>
    <w:p w:rsidR="0085030B" w:rsidRPr="0085030B" w:rsidRDefault="0085030B" w:rsidP="0057770F">
      <w:pPr>
        <w:rPr>
          <w:b/>
          <w:color w:val="1F4E79" w:themeColor="accent1" w:themeShade="80"/>
        </w:rPr>
      </w:pPr>
      <w:r w:rsidRPr="0085030B">
        <w:rPr>
          <w:b/>
          <w:color w:val="1F4E79" w:themeColor="accent1" w:themeShade="80"/>
        </w:rPr>
        <w:t>Hlavní uchazeči:</w:t>
      </w:r>
    </w:p>
    <w:p w:rsidR="00E25555" w:rsidRDefault="00BC5DC4" w:rsidP="00BC5DC4">
      <w:pPr>
        <w:pStyle w:val="Odstavecseseznamem"/>
        <w:numPr>
          <w:ilvl w:val="0"/>
          <w:numId w:val="16"/>
        </w:numPr>
      </w:pPr>
      <w:r w:rsidRPr="00372D69">
        <w:lastRenderedPageBreak/>
        <w:t>výzkumné organizace</w:t>
      </w:r>
      <w:r w:rsidR="00E25555">
        <w:t xml:space="preserve"> </w:t>
      </w:r>
    </w:p>
    <w:p w:rsidR="00474F9B" w:rsidRDefault="00474F9B" w:rsidP="00BC5DC4">
      <w:pPr>
        <w:pStyle w:val="Odstavecseseznamem"/>
        <w:numPr>
          <w:ilvl w:val="0"/>
          <w:numId w:val="16"/>
        </w:numPr>
      </w:pPr>
      <w:r w:rsidRPr="00372D69">
        <w:t>podniky</w:t>
      </w:r>
    </w:p>
    <w:p w:rsidR="004D705E" w:rsidRDefault="004D705E" w:rsidP="004D705E">
      <w:r>
        <w:t>Hlavním uchazečem může být pouze subjekt, který má sídlo, provozovnu nebo pobočku v České republice.</w:t>
      </w:r>
    </w:p>
    <w:p w:rsidR="008B7725" w:rsidRDefault="008B7725" w:rsidP="004D705E">
      <w:r>
        <w:t>Partneři z jedné země mohou požadovat maximálně 60% z celkové podpory na projekt.</w:t>
      </w:r>
    </w:p>
    <w:p w:rsidR="001501C0" w:rsidRDefault="001501C0" w:rsidP="00E36A22">
      <w:pPr>
        <w:rPr>
          <w:b/>
          <w:color w:val="1F4E79" w:themeColor="accent1" w:themeShade="80"/>
          <w:sz w:val="28"/>
          <w:szCs w:val="28"/>
        </w:rPr>
      </w:pPr>
    </w:p>
    <w:p w:rsidR="00E36A22" w:rsidRPr="00E36A22" w:rsidRDefault="00E36A22" w:rsidP="00E36A22">
      <w:pPr>
        <w:rPr>
          <w:b/>
          <w:color w:val="1F4E79" w:themeColor="accent1" w:themeShade="80"/>
          <w:sz w:val="28"/>
          <w:szCs w:val="28"/>
        </w:rPr>
      </w:pPr>
      <w:r w:rsidRPr="00E36A22">
        <w:rPr>
          <w:b/>
          <w:color w:val="1F4E79" w:themeColor="accent1" w:themeShade="80"/>
          <w:sz w:val="28"/>
          <w:szCs w:val="28"/>
        </w:rPr>
        <w:t>Velikost projektového konsorcia:</w:t>
      </w:r>
    </w:p>
    <w:p w:rsidR="0085030B" w:rsidRPr="00E36A22" w:rsidRDefault="00E36A22" w:rsidP="00E36A22">
      <w:r w:rsidRPr="00E36A22">
        <w:t xml:space="preserve">Projekty </w:t>
      </w:r>
      <w:r w:rsidR="004D705E">
        <w:t xml:space="preserve">mohou předkládat mezinárodní konsorcia složená minimálně ze tří způsobilých partnerů z nejméně tří zapojených zemí a musí být financovány přinejmenším třemi různými zúčastněnými poskytovateli. </w:t>
      </w:r>
    </w:p>
    <w:p w:rsidR="001501C0" w:rsidRDefault="001501C0" w:rsidP="0049637A">
      <w:pPr>
        <w:rPr>
          <w:b/>
          <w:color w:val="1F4E79" w:themeColor="accent1" w:themeShade="80"/>
          <w:sz w:val="28"/>
          <w:szCs w:val="28"/>
        </w:rPr>
      </w:pPr>
    </w:p>
    <w:p w:rsidR="0049637A" w:rsidRPr="00C714B4" w:rsidRDefault="0049637A" w:rsidP="0049637A">
      <w:pPr>
        <w:rPr>
          <w:b/>
          <w:color w:val="1F4E79" w:themeColor="accent1" w:themeShade="80"/>
          <w:sz w:val="28"/>
          <w:szCs w:val="28"/>
        </w:rPr>
      </w:pPr>
      <w:r w:rsidRPr="00C714B4">
        <w:rPr>
          <w:b/>
          <w:color w:val="1F4E79" w:themeColor="accent1" w:themeShade="80"/>
          <w:sz w:val="28"/>
          <w:szCs w:val="28"/>
        </w:rPr>
        <w:t>Zapojené země:</w:t>
      </w:r>
    </w:p>
    <w:p w:rsidR="006F468F" w:rsidRDefault="004D705E" w:rsidP="004D705E">
      <w:r>
        <w:t>Belgie (F.R.S.-FNRS, FWO), Bulharsko (BNSF), Česká republika (TA ČR), Estonsko (</w:t>
      </w:r>
      <w:proofErr w:type="spellStart"/>
      <w:r>
        <w:t>ETAg</w:t>
      </w:r>
      <w:proofErr w:type="spellEnd"/>
      <w:r>
        <w:t>), Finsko (AKA), Francie (ANR), Irsko (IRC), Izrael (</w:t>
      </w:r>
      <w:proofErr w:type="spellStart"/>
      <w:r>
        <w:t>InnovationAuth</w:t>
      </w:r>
      <w:proofErr w:type="spellEnd"/>
      <w:r>
        <w:t xml:space="preserve">), Litva (LMT), Polsko (NCN), Slovensko (SAS), Španělsko (AEI), Švýcarsko (SNFS), </w:t>
      </w:r>
      <w:proofErr w:type="spellStart"/>
      <w:r>
        <w:t>Taiwan</w:t>
      </w:r>
      <w:proofErr w:type="spellEnd"/>
      <w:r>
        <w:t xml:space="preserve"> (</w:t>
      </w:r>
      <w:proofErr w:type="spellStart"/>
      <w:r>
        <w:t>MoST</w:t>
      </w:r>
      <w:proofErr w:type="spellEnd"/>
      <w:r>
        <w:t>), Turecko (TÜBITAK), Velká Británie (UKRI)</w:t>
      </w:r>
    </w:p>
    <w:p w:rsidR="00C714B4" w:rsidRPr="00372D69" w:rsidRDefault="00C714B4" w:rsidP="002F6ADE">
      <w:pPr>
        <w:rPr>
          <w:highlight w:val="yellow"/>
        </w:rPr>
      </w:pPr>
    </w:p>
    <w:p w:rsidR="00421000" w:rsidRPr="00372D69" w:rsidRDefault="00421000" w:rsidP="008F2375">
      <w:pPr>
        <w:rPr>
          <w:b/>
          <w:color w:val="1F4E79" w:themeColor="accent1" w:themeShade="80"/>
          <w:sz w:val="28"/>
          <w:szCs w:val="28"/>
        </w:rPr>
      </w:pPr>
      <w:r w:rsidRPr="00372D69">
        <w:rPr>
          <w:b/>
          <w:color w:val="1F4E79" w:themeColor="accent1" w:themeShade="80"/>
          <w:sz w:val="28"/>
          <w:szCs w:val="28"/>
        </w:rPr>
        <w:t>Způsobilé náklady</w:t>
      </w:r>
      <w:r w:rsidR="00A24015" w:rsidRPr="00372D69">
        <w:rPr>
          <w:b/>
          <w:color w:val="1F4E79" w:themeColor="accent1" w:themeShade="80"/>
          <w:sz w:val="28"/>
          <w:szCs w:val="28"/>
        </w:rPr>
        <w:t>:</w:t>
      </w:r>
      <w:r w:rsidRPr="00372D69">
        <w:rPr>
          <w:b/>
          <w:color w:val="1F4E79" w:themeColor="accent1" w:themeShade="80"/>
          <w:sz w:val="28"/>
          <w:szCs w:val="28"/>
        </w:rPr>
        <w:t xml:space="preserve">  </w:t>
      </w:r>
    </w:p>
    <w:p w:rsidR="00421000" w:rsidRPr="00372D69" w:rsidRDefault="00421000" w:rsidP="00832490">
      <w:pPr>
        <w:pStyle w:val="Default"/>
        <w:numPr>
          <w:ilvl w:val="0"/>
          <w:numId w:val="34"/>
        </w:numPr>
        <w:spacing w:after="178" w:line="140" w:lineRule="atLeast"/>
        <w:ind w:left="714" w:hanging="357"/>
        <w:rPr>
          <w:sz w:val="22"/>
          <w:szCs w:val="22"/>
        </w:rPr>
      </w:pPr>
      <w:r w:rsidRPr="00372D69">
        <w:rPr>
          <w:sz w:val="22"/>
          <w:szCs w:val="22"/>
        </w:rPr>
        <w:t>osobní ná</w:t>
      </w:r>
      <w:r w:rsidR="00A24015" w:rsidRPr="00372D69">
        <w:rPr>
          <w:sz w:val="22"/>
          <w:szCs w:val="22"/>
        </w:rPr>
        <w:t>klady</w:t>
      </w:r>
      <w:r w:rsidR="0085030B">
        <w:rPr>
          <w:sz w:val="22"/>
          <w:szCs w:val="22"/>
        </w:rPr>
        <w:t>;</w:t>
      </w:r>
    </w:p>
    <w:p w:rsidR="00421000" w:rsidRPr="00372D69" w:rsidRDefault="00421000" w:rsidP="00832490">
      <w:pPr>
        <w:pStyle w:val="Default"/>
        <w:numPr>
          <w:ilvl w:val="0"/>
          <w:numId w:val="34"/>
        </w:numPr>
        <w:spacing w:after="178" w:line="140" w:lineRule="atLeast"/>
        <w:ind w:left="714" w:hanging="357"/>
        <w:rPr>
          <w:sz w:val="22"/>
          <w:szCs w:val="22"/>
        </w:rPr>
      </w:pPr>
      <w:r w:rsidRPr="00372D69">
        <w:rPr>
          <w:sz w:val="22"/>
          <w:szCs w:val="22"/>
        </w:rPr>
        <w:t>náklady na subdodávky</w:t>
      </w:r>
      <w:r w:rsidR="00734728" w:rsidRPr="00372D69">
        <w:rPr>
          <w:sz w:val="22"/>
          <w:szCs w:val="22"/>
        </w:rPr>
        <w:t xml:space="preserve"> (max. 20% - jedná se o výzkumné subdodávky)</w:t>
      </w:r>
      <w:r w:rsidRPr="00372D69">
        <w:rPr>
          <w:sz w:val="22"/>
          <w:szCs w:val="22"/>
        </w:rPr>
        <w:t xml:space="preserve">; </w:t>
      </w:r>
    </w:p>
    <w:p w:rsidR="00421000" w:rsidRPr="00372D69" w:rsidRDefault="00421000" w:rsidP="00832490">
      <w:pPr>
        <w:pStyle w:val="Default"/>
        <w:numPr>
          <w:ilvl w:val="0"/>
          <w:numId w:val="34"/>
        </w:numPr>
        <w:spacing w:after="178" w:line="140" w:lineRule="atLeast"/>
        <w:ind w:left="714" w:hanging="357"/>
        <w:rPr>
          <w:sz w:val="22"/>
          <w:szCs w:val="22"/>
        </w:rPr>
      </w:pPr>
      <w:r w:rsidRPr="00372D69">
        <w:rPr>
          <w:sz w:val="22"/>
          <w:szCs w:val="22"/>
        </w:rPr>
        <w:t xml:space="preserve">ostatní přímé náklady; </w:t>
      </w:r>
    </w:p>
    <w:p w:rsidR="00F36C80" w:rsidRPr="00372D69" w:rsidRDefault="00421000" w:rsidP="00832490">
      <w:pPr>
        <w:pStyle w:val="Default"/>
        <w:numPr>
          <w:ilvl w:val="0"/>
          <w:numId w:val="34"/>
        </w:numPr>
        <w:spacing w:after="178" w:line="140" w:lineRule="atLeast"/>
        <w:ind w:left="714" w:hanging="357"/>
        <w:rPr>
          <w:sz w:val="22"/>
          <w:szCs w:val="22"/>
        </w:rPr>
      </w:pPr>
      <w:r w:rsidRPr="00372D69">
        <w:rPr>
          <w:sz w:val="22"/>
          <w:szCs w:val="22"/>
        </w:rPr>
        <w:t>nepřímé náklady</w:t>
      </w:r>
      <w:r w:rsidR="00F36C80" w:rsidRPr="00372D69">
        <w:rPr>
          <w:sz w:val="22"/>
          <w:szCs w:val="22"/>
        </w:rPr>
        <w:t>;</w:t>
      </w:r>
    </w:p>
    <w:p w:rsidR="00F36C80" w:rsidRPr="00372D69" w:rsidRDefault="00F36C80" w:rsidP="00832490">
      <w:pPr>
        <w:pStyle w:val="Default"/>
        <w:numPr>
          <w:ilvl w:val="0"/>
          <w:numId w:val="34"/>
        </w:numPr>
        <w:spacing w:after="178" w:line="140" w:lineRule="atLeast"/>
        <w:ind w:left="714" w:hanging="357"/>
        <w:rPr>
          <w:sz w:val="22"/>
          <w:szCs w:val="22"/>
        </w:rPr>
      </w:pPr>
      <w:r w:rsidRPr="00372D69">
        <w:rPr>
          <w:sz w:val="22"/>
          <w:szCs w:val="22"/>
        </w:rPr>
        <w:t xml:space="preserve">stipendia </w:t>
      </w:r>
      <w:r w:rsidRPr="00372D69">
        <w:rPr>
          <w:b/>
          <w:sz w:val="22"/>
          <w:szCs w:val="22"/>
        </w:rPr>
        <w:t>(na VUT není tento náklad doporučován!)</w:t>
      </w:r>
    </w:p>
    <w:p w:rsidR="00894BEB" w:rsidRDefault="00210CA9" w:rsidP="0057770F">
      <w:r w:rsidRPr="00372D69">
        <w:rPr>
          <w:b/>
        </w:rPr>
        <w:t xml:space="preserve">Nepřímé náklady: </w:t>
      </w:r>
      <w:proofErr w:type="spellStart"/>
      <w:r w:rsidRPr="00372D69">
        <w:t>Flate</w:t>
      </w:r>
      <w:proofErr w:type="spellEnd"/>
      <w:r w:rsidRPr="00372D69">
        <w:t xml:space="preserve"> </w:t>
      </w:r>
      <w:proofErr w:type="spellStart"/>
      <w:r w:rsidRPr="00372D69">
        <w:t>rate</w:t>
      </w:r>
      <w:proofErr w:type="spellEnd"/>
      <w:r w:rsidRPr="00372D69">
        <w:t xml:space="preserve"> </w:t>
      </w:r>
      <w:r w:rsidR="003B2398" w:rsidRPr="00372D69">
        <w:t>25</w:t>
      </w:r>
      <w:r w:rsidR="00C2215E" w:rsidRPr="00372D69">
        <w:t xml:space="preserve">% </w:t>
      </w:r>
      <w:r w:rsidR="00942569" w:rsidRPr="00372D69">
        <w:t xml:space="preserve">z osobních nákladů a ostatních přímých nákladů, </w:t>
      </w:r>
      <w:r w:rsidRPr="00372D69">
        <w:t xml:space="preserve">nebo Full </w:t>
      </w:r>
      <w:proofErr w:type="spellStart"/>
      <w:r w:rsidRPr="00372D69">
        <w:t>cost</w:t>
      </w:r>
      <w:proofErr w:type="spellEnd"/>
    </w:p>
    <w:p w:rsidR="00E63B3F" w:rsidRPr="0058002C" w:rsidRDefault="00E63B3F" w:rsidP="0057770F">
      <w:pPr>
        <w:rPr>
          <w:b/>
        </w:rPr>
      </w:pPr>
    </w:p>
    <w:p w:rsidR="00E63B3F" w:rsidRPr="00C27241" w:rsidRDefault="00E63B3F" w:rsidP="00E63B3F">
      <w:pPr>
        <w:rPr>
          <w:b/>
          <w:color w:val="1F4E79" w:themeColor="accent1" w:themeShade="80"/>
          <w:sz w:val="28"/>
          <w:szCs w:val="28"/>
        </w:rPr>
      </w:pPr>
      <w:r w:rsidRPr="00C27241">
        <w:rPr>
          <w:b/>
          <w:color w:val="1F4E79" w:themeColor="accent1" w:themeShade="80"/>
          <w:sz w:val="28"/>
          <w:szCs w:val="28"/>
        </w:rPr>
        <w:t xml:space="preserve">Očekávané hlavní výstupy/výsledky: </w:t>
      </w:r>
    </w:p>
    <w:p w:rsidR="004D705E" w:rsidRPr="00803ECA" w:rsidRDefault="004D705E" w:rsidP="0062316E">
      <w:proofErr w:type="spellStart"/>
      <w:r>
        <w:rPr>
          <w:b/>
        </w:rPr>
        <w:t>F</w:t>
      </w:r>
      <w:r>
        <w:rPr>
          <w:b/>
          <w:vertAlign w:val="subscript"/>
        </w:rPr>
        <w:t>prum</w:t>
      </w:r>
      <w:proofErr w:type="spellEnd"/>
      <w:r w:rsidR="00803ECA">
        <w:rPr>
          <w:b/>
          <w:vertAlign w:val="subscript"/>
        </w:rPr>
        <w:t xml:space="preserve"> </w:t>
      </w:r>
      <w:r w:rsidR="00803ECA">
        <w:rPr>
          <w:b/>
        </w:rPr>
        <w:t>–</w:t>
      </w:r>
      <w:r w:rsidR="00803ECA" w:rsidRPr="00803ECA">
        <w:rPr>
          <w:b/>
        </w:rPr>
        <w:t xml:space="preserve"> </w:t>
      </w:r>
      <w:r w:rsidR="00803ECA" w:rsidRPr="00803ECA">
        <w:t>průmyslový vzor</w:t>
      </w:r>
    </w:p>
    <w:p w:rsidR="004D705E" w:rsidRPr="00803ECA" w:rsidRDefault="004D705E" w:rsidP="0062316E">
      <w:proofErr w:type="spellStart"/>
      <w:r>
        <w:rPr>
          <w:b/>
        </w:rPr>
        <w:t>F</w:t>
      </w:r>
      <w:r>
        <w:rPr>
          <w:b/>
          <w:vertAlign w:val="subscript"/>
        </w:rPr>
        <w:t>uzit</w:t>
      </w:r>
      <w:proofErr w:type="spellEnd"/>
      <w:r w:rsidR="00803ECA">
        <w:rPr>
          <w:b/>
          <w:vertAlign w:val="subscript"/>
        </w:rPr>
        <w:t xml:space="preserve"> </w:t>
      </w:r>
      <w:r w:rsidR="00803ECA">
        <w:rPr>
          <w:b/>
        </w:rPr>
        <w:t xml:space="preserve">-  </w:t>
      </w:r>
      <w:r w:rsidR="00803ECA" w:rsidRPr="00803ECA">
        <w:t>užitný vzor</w:t>
      </w:r>
    </w:p>
    <w:p w:rsidR="004D705E" w:rsidRPr="00803ECA" w:rsidRDefault="004D705E" w:rsidP="0062316E">
      <w:pPr>
        <w:rPr>
          <w:vertAlign w:val="subscript"/>
        </w:rPr>
      </w:pPr>
      <w:proofErr w:type="spellStart"/>
      <w:r>
        <w:rPr>
          <w:b/>
        </w:rPr>
        <w:t>G</w:t>
      </w:r>
      <w:r>
        <w:rPr>
          <w:b/>
          <w:vertAlign w:val="subscript"/>
        </w:rPr>
        <w:t>prot</w:t>
      </w:r>
      <w:proofErr w:type="spellEnd"/>
      <w:r w:rsidR="00803ECA">
        <w:rPr>
          <w:b/>
          <w:vertAlign w:val="subscript"/>
        </w:rPr>
        <w:t xml:space="preserve"> </w:t>
      </w:r>
      <w:r w:rsidR="00803ECA" w:rsidRPr="00803ECA">
        <w:rPr>
          <w:b/>
        </w:rPr>
        <w:t xml:space="preserve">- </w:t>
      </w:r>
      <w:r w:rsidR="00803ECA" w:rsidRPr="00803ECA">
        <w:t>prototyp</w:t>
      </w:r>
    </w:p>
    <w:p w:rsidR="004D705E" w:rsidRPr="00803ECA" w:rsidRDefault="00803ECA" w:rsidP="0062316E">
      <w:proofErr w:type="spellStart"/>
      <w:r>
        <w:rPr>
          <w:b/>
        </w:rPr>
        <w:t>G</w:t>
      </w:r>
      <w:r>
        <w:rPr>
          <w:b/>
          <w:vertAlign w:val="subscript"/>
        </w:rPr>
        <w:t>funk</w:t>
      </w:r>
      <w:proofErr w:type="spellEnd"/>
      <w:r>
        <w:rPr>
          <w:b/>
        </w:rPr>
        <w:t xml:space="preserve"> </w:t>
      </w:r>
      <w:r w:rsidRPr="00803ECA">
        <w:t>– funkční vzorek</w:t>
      </w:r>
    </w:p>
    <w:p w:rsidR="00803ECA" w:rsidRPr="00803ECA" w:rsidRDefault="00803ECA" w:rsidP="0062316E">
      <w:proofErr w:type="spellStart"/>
      <w:r>
        <w:rPr>
          <w:b/>
        </w:rPr>
        <w:t>H</w:t>
      </w:r>
      <w:r>
        <w:rPr>
          <w:b/>
          <w:vertAlign w:val="subscript"/>
        </w:rPr>
        <w:t>konc</w:t>
      </w:r>
      <w:proofErr w:type="spellEnd"/>
      <w:r>
        <w:rPr>
          <w:b/>
        </w:rPr>
        <w:t xml:space="preserve"> </w:t>
      </w:r>
      <w:r w:rsidRPr="00803ECA">
        <w:t xml:space="preserve">– výsledky promítnuté do schválených strategických a koncepčních dokumentů </w:t>
      </w:r>
      <w:proofErr w:type="spellStart"/>
      <w:r w:rsidRPr="00803ECA">
        <w:t>VavaI</w:t>
      </w:r>
      <w:proofErr w:type="spellEnd"/>
      <w:r w:rsidRPr="00803ECA">
        <w:t xml:space="preserve"> orgánů státní nebo veřejné správy</w:t>
      </w:r>
    </w:p>
    <w:p w:rsidR="00803ECA" w:rsidRPr="00803ECA" w:rsidRDefault="00803ECA" w:rsidP="0062316E">
      <w:proofErr w:type="spellStart"/>
      <w:r>
        <w:rPr>
          <w:b/>
        </w:rPr>
        <w:t>H</w:t>
      </w:r>
      <w:r>
        <w:rPr>
          <w:b/>
          <w:vertAlign w:val="subscript"/>
        </w:rPr>
        <w:t>neleg</w:t>
      </w:r>
      <w:proofErr w:type="spellEnd"/>
      <w:r>
        <w:rPr>
          <w:b/>
        </w:rPr>
        <w:t xml:space="preserve"> – </w:t>
      </w:r>
      <w:r w:rsidRPr="00803ECA">
        <w:t>výsledky promítnuté do směrnic a předpisů nelegislativní povahy závazných v rámci kompetence příslušného poskytovatele</w:t>
      </w:r>
    </w:p>
    <w:p w:rsidR="00803ECA" w:rsidRPr="006009D9" w:rsidRDefault="00803ECA" w:rsidP="0062316E">
      <w:proofErr w:type="spellStart"/>
      <w:r>
        <w:rPr>
          <w:b/>
        </w:rPr>
        <w:lastRenderedPageBreak/>
        <w:t>N</w:t>
      </w:r>
      <w:r>
        <w:rPr>
          <w:b/>
          <w:vertAlign w:val="subscript"/>
        </w:rPr>
        <w:t>lec</w:t>
      </w:r>
      <w:proofErr w:type="spellEnd"/>
      <w:r w:rsidR="006009D9" w:rsidRPr="006009D9">
        <w:t>- léčebný postup</w:t>
      </w:r>
    </w:p>
    <w:p w:rsidR="00803ECA" w:rsidRPr="006009D9" w:rsidRDefault="00803ECA" w:rsidP="0062316E">
      <w:proofErr w:type="spellStart"/>
      <w:r>
        <w:rPr>
          <w:b/>
        </w:rPr>
        <w:t>N</w:t>
      </w:r>
      <w:r w:rsidR="006009D9">
        <w:rPr>
          <w:b/>
          <w:vertAlign w:val="subscript"/>
        </w:rPr>
        <w:t>map</w:t>
      </w:r>
      <w:proofErr w:type="spellEnd"/>
      <w:r w:rsidR="006009D9">
        <w:t xml:space="preserve"> – specializovaná mapa s odborným obsahem</w:t>
      </w:r>
    </w:p>
    <w:p w:rsidR="006009D9" w:rsidRPr="006009D9" w:rsidRDefault="006009D9" w:rsidP="0062316E">
      <w:proofErr w:type="spellStart"/>
      <w:r>
        <w:rPr>
          <w:b/>
        </w:rPr>
        <w:t>N</w:t>
      </w:r>
      <w:r>
        <w:rPr>
          <w:b/>
          <w:vertAlign w:val="subscript"/>
        </w:rPr>
        <w:t>pam</w:t>
      </w:r>
      <w:proofErr w:type="spellEnd"/>
      <w:r>
        <w:t xml:space="preserve"> – památkový postup</w:t>
      </w:r>
    </w:p>
    <w:p w:rsidR="0062316E" w:rsidRPr="00C27241" w:rsidRDefault="0062316E" w:rsidP="0062316E">
      <w:r w:rsidRPr="00C27241">
        <w:rPr>
          <w:b/>
        </w:rPr>
        <w:t xml:space="preserve">P </w:t>
      </w:r>
      <w:r w:rsidRPr="00C27241">
        <w:t>– patent;</w:t>
      </w:r>
    </w:p>
    <w:p w:rsidR="0062316E" w:rsidRPr="00C27241" w:rsidRDefault="0062316E" w:rsidP="0062316E">
      <w:pPr>
        <w:rPr>
          <w:b/>
        </w:rPr>
      </w:pPr>
      <w:r w:rsidRPr="00C27241">
        <w:rPr>
          <w:b/>
        </w:rPr>
        <w:t xml:space="preserve">G </w:t>
      </w:r>
      <w:r w:rsidRPr="00C27241">
        <w:t>– technicky realizované výsledky – prototyp, funkční vzorek</w:t>
      </w:r>
      <w:r w:rsidRPr="00C27241">
        <w:rPr>
          <w:b/>
        </w:rPr>
        <w:t>;</w:t>
      </w:r>
    </w:p>
    <w:p w:rsidR="0062316E" w:rsidRDefault="0062316E" w:rsidP="0062316E">
      <w:r w:rsidRPr="00C27241">
        <w:rPr>
          <w:b/>
        </w:rPr>
        <w:t xml:space="preserve">R </w:t>
      </w:r>
      <w:r w:rsidRPr="00C27241">
        <w:t>– software;</w:t>
      </w:r>
    </w:p>
    <w:p w:rsidR="006009D9" w:rsidRPr="006009D9" w:rsidRDefault="0085030B" w:rsidP="0062316E">
      <w:proofErr w:type="spellStart"/>
      <w:r w:rsidRPr="0085030B">
        <w:rPr>
          <w:b/>
        </w:rPr>
        <w:t>Z</w:t>
      </w:r>
      <w:r w:rsidRPr="006009D9">
        <w:rPr>
          <w:b/>
          <w:vertAlign w:val="subscript"/>
        </w:rPr>
        <w:t>polop</w:t>
      </w:r>
      <w:proofErr w:type="spellEnd"/>
      <w:r w:rsidR="006009D9">
        <w:rPr>
          <w:b/>
        </w:rPr>
        <w:t xml:space="preserve"> -</w:t>
      </w:r>
      <w:r w:rsidRPr="0085030B">
        <w:rPr>
          <w:b/>
        </w:rPr>
        <w:t xml:space="preserve"> </w:t>
      </w:r>
      <w:r w:rsidR="006009D9" w:rsidRPr="006009D9">
        <w:t>poloprovoz</w:t>
      </w:r>
    </w:p>
    <w:p w:rsidR="0085030B" w:rsidRDefault="0085030B" w:rsidP="0062316E">
      <w:proofErr w:type="spellStart"/>
      <w:r w:rsidRPr="0085030B">
        <w:rPr>
          <w:b/>
        </w:rPr>
        <w:t>Z</w:t>
      </w:r>
      <w:r w:rsidRPr="006009D9">
        <w:rPr>
          <w:b/>
          <w:vertAlign w:val="subscript"/>
        </w:rPr>
        <w:t>tech</w:t>
      </w:r>
      <w:proofErr w:type="spellEnd"/>
      <w:r>
        <w:t xml:space="preserve"> </w:t>
      </w:r>
      <w:r w:rsidR="006009D9">
        <w:t>-</w:t>
      </w:r>
      <w:r w:rsidRPr="006009D9">
        <w:rPr>
          <w:vertAlign w:val="subscript"/>
        </w:rPr>
        <w:t xml:space="preserve"> </w:t>
      </w:r>
      <w:r w:rsidRPr="00C27241">
        <w:t>ověřená technologie;</w:t>
      </w:r>
    </w:p>
    <w:p w:rsidR="0085030B" w:rsidRDefault="0085030B" w:rsidP="0062316E">
      <w:r w:rsidRPr="0085030B">
        <w:rPr>
          <w:b/>
        </w:rPr>
        <w:t>S</w:t>
      </w:r>
      <w:r>
        <w:t xml:space="preserve"> – specializovaná veřejná databáze;</w:t>
      </w:r>
    </w:p>
    <w:p w:rsidR="00C545CA" w:rsidRDefault="0062316E" w:rsidP="0062316E">
      <w:r w:rsidRPr="00C27241">
        <w:rPr>
          <w:b/>
        </w:rPr>
        <w:t xml:space="preserve">O </w:t>
      </w:r>
      <w:r w:rsidRPr="00C27241">
        <w:t>– ostatní výsledky.</w:t>
      </w:r>
    </w:p>
    <w:p w:rsidR="00BE63AB" w:rsidRDefault="00BE63AB" w:rsidP="00BE63AB">
      <w:pPr>
        <w:rPr>
          <w:b/>
          <w:color w:val="1F4E79" w:themeColor="accent1" w:themeShade="80"/>
          <w:sz w:val="28"/>
          <w:szCs w:val="28"/>
        </w:rPr>
      </w:pPr>
    </w:p>
    <w:p w:rsidR="00BE63AB" w:rsidRPr="00A26BA0" w:rsidRDefault="00BE63AB" w:rsidP="00BE63AB">
      <w:pPr>
        <w:rPr>
          <w:b/>
          <w:color w:val="1F4E79" w:themeColor="accent1" w:themeShade="80"/>
          <w:sz w:val="28"/>
          <w:szCs w:val="28"/>
        </w:rPr>
      </w:pPr>
      <w:r w:rsidRPr="00A26BA0">
        <w:rPr>
          <w:b/>
          <w:color w:val="1F4E79" w:themeColor="accent1" w:themeShade="80"/>
          <w:sz w:val="28"/>
          <w:szCs w:val="28"/>
        </w:rPr>
        <w:t>Požadavky na způsobilost:</w:t>
      </w:r>
    </w:p>
    <w:p w:rsidR="00BE63AB" w:rsidRPr="001B2F54" w:rsidRDefault="00BE63AB" w:rsidP="00BE63AB">
      <w:pPr>
        <w:rPr>
          <w:b/>
        </w:rPr>
      </w:pPr>
      <w:r w:rsidRPr="001B2F54">
        <w:rPr>
          <w:b/>
        </w:rPr>
        <w:t>Požadavky na způsobilost:</w:t>
      </w:r>
    </w:p>
    <w:p w:rsidR="00BE63AB" w:rsidRPr="00077902" w:rsidRDefault="00BE63AB" w:rsidP="00BE63AB">
      <w:pPr>
        <w:rPr>
          <w:b/>
        </w:rPr>
      </w:pPr>
      <w:r w:rsidRPr="00077902">
        <w:t>Čestné prohlášení za uchazeče VUT Brno bude zajištěno rektorátem prostřednictvím datové schránky centrálně za všechny projekty ve lhůtě stanovené poskytovatelem. Každý další účastník musí poslat čestné prohlášení ze své datové schránky a v datovém poli</w:t>
      </w:r>
      <w:r w:rsidRPr="001B2F54">
        <w:rPr>
          <w:b/>
        </w:rPr>
        <w:t xml:space="preserve"> „Věc” uvede </w:t>
      </w:r>
      <w:r w:rsidRPr="00077902">
        <w:rPr>
          <w:b/>
        </w:rPr>
        <w:t>„</w:t>
      </w:r>
      <w:proofErr w:type="spellStart"/>
      <w:r w:rsidR="004B238D">
        <w:rPr>
          <w:b/>
        </w:rPr>
        <w:t>Horizon</w:t>
      </w:r>
      <w:proofErr w:type="spellEnd"/>
      <w:r w:rsidR="004B238D">
        <w:rPr>
          <w:b/>
        </w:rPr>
        <w:t xml:space="preserve"> 2020 – CHIST-ERA Call 2021 – prokázání způsobilosti – akronym projektu</w:t>
      </w:r>
      <w:r w:rsidRPr="00077902">
        <w:rPr>
          <w:b/>
        </w:rPr>
        <w:t>“. ID datové schránky TAČR: afth9xp.</w:t>
      </w:r>
    </w:p>
    <w:p w:rsidR="00BE63AB" w:rsidRPr="00A26BA0" w:rsidRDefault="00BE63AB" w:rsidP="00BE63AB">
      <w:pPr>
        <w:rPr>
          <w:b/>
        </w:rPr>
      </w:pPr>
      <w:r>
        <w:t>V případě, že další účastník nemá datovou schránku, může čestné prohlášení poslat listině jako zahraniční další účastník.</w:t>
      </w:r>
    </w:p>
    <w:p w:rsidR="00BE63AB" w:rsidRPr="00A26BA0" w:rsidRDefault="00BE63AB" w:rsidP="00BE63AB">
      <w:pPr>
        <w:rPr>
          <w:b/>
        </w:rPr>
      </w:pPr>
      <w:r w:rsidRPr="00A26BA0">
        <w:rPr>
          <w:b/>
        </w:rPr>
        <w:t xml:space="preserve">VUT splňuje povinnost zveřejnit účetní závěrku tím, že vydává výroční zprávu o hospodaření. Způsobilost uchazeče VUT bude tedy automaticky za všechny projekty splněna. </w:t>
      </w:r>
    </w:p>
    <w:p w:rsidR="00BE63AB" w:rsidRPr="00372D69" w:rsidRDefault="00BE63AB" w:rsidP="0057770F">
      <w:pPr>
        <w:rPr>
          <w:b/>
          <w:color w:val="1F4E79" w:themeColor="accent1" w:themeShade="80"/>
          <w:sz w:val="28"/>
          <w:szCs w:val="28"/>
          <w:highlight w:val="yellow"/>
        </w:rPr>
      </w:pPr>
    </w:p>
    <w:p w:rsidR="003206E0" w:rsidRDefault="003206E0" w:rsidP="0057770F">
      <w:pPr>
        <w:rPr>
          <w:b/>
          <w:color w:val="1F4E79" w:themeColor="accent1" w:themeShade="80"/>
          <w:sz w:val="28"/>
          <w:szCs w:val="28"/>
        </w:rPr>
      </w:pPr>
      <w:r w:rsidRPr="00372D69">
        <w:rPr>
          <w:b/>
          <w:color w:val="1F4E79" w:themeColor="accent1" w:themeShade="80"/>
          <w:sz w:val="28"/>
          <w:szCs w:val="28"/>
        </w:rPr>
        <w:t>Povinné přílohy:</w:t>
      </w:r>
    </w:p>
    <w:p w:rsidR="00A0691B" w:rsidRPr="00A0691B" w:rsidRDefault="00A0691B" w:rsidP="00A0691B">
      <w:pPr>
        <w:rPr>
          <w:i/>
          <w:u w:val="single"/>
        </w:rPr>
      </w:pPr>
      <w:r w:rsidRPr="00A0691B">
        <w:rPr>
          <w:i/>
          <w:u w:val="single"/>
        </w:rPr>
        <w:t>Hlavní uchazeč:</w:t>
      </w:r>
    </w:p>
    <w:p w:rsidR="00D27AA9" w:rsidRPr="00D27AA9" w:rsidRDefault="00D27AA9" w:rsidP="00D27AA9">
      <w:pPr>
        <w:pStyle w:val="Odstavecseseznamem"/>
        <w:numPr>
          <w:ilvl w:val="0"/>
          <w:numId w:val="43"/>
        </w:numPr>
      </w:pPr>
      <w:r w:rsidRPr="00D27AA9">
        <w:t>TA</w:t>
      </w:r>
      <w:r>
        <w:t>Č</w:t>
      </w:r>
      <w:r w:rsidRPr="00D27AA9">
        <w:t xml:space="preserve">R </w:t>
      </w:r>
      <w:proofErr w:type="spellStart"/>
      <w:r w:rsidRPr="00D27AA9">
        <w:t>Application</w:t>
      </w:r>
      <w:proofErr w:type="spellEnd"/>
      <w:r w:rsidRPr="00D27AA9">
        <w:t xml:space="preserve"> </w:t>
      </w:r>
      <w:proofErr w:type="spellStart"/>
      <w:r w:rsidRPr="00D27AA9">
        <w:t>Form</w:t>
      </w:r>
      <w:proofErr w:type="spellEnd"/>
      <w:r w:rsidRPr="00D27AA9">
        <w:t xml:space="preserve"> </w:t>
      </w:r>
    </w:p>
    <w:p w:rsidR="00D27AA9" w:rsidRDefault="00D27AA9" w:rsidP="00D27AA9">
      <w:pPr>
        <w:pStyle w:val="Odstavecseseznamem"/>
        <w:numPr>
          <w:ilvl w:val="0"/>
          <w:numId w:val="43"/>
        </w:numPr>
      </w:pPr>
      <w:r w:rsidRPr="00D27AA9">
        <w:t>Čestné prohlášení (</w:t>
      </w:r>
      <w:proofErr w:type="spellStart"/>
      <w:r w:rsidRPr="00D27AA9">
        <w:t>Sworn</w:t>
      </w:r>
      <w:proofErr w:type="spellEnd"/>
      <w:r w:rsidRPr="00D27AA9">
        <w:t xml:space="preserve"> </w:t>
      </w:r>
      <w:proofErr w:type="spellStart"/>
      <w:r w:rsidRPr="00D27AA9">
        <w:t>Statement</w:t>
      </w:r>
      <w:proofErr w:type="spellEnd"/>
      <w:r w:rsidRPr="00D27AA9">
        <w:t>)</w:t>
      </w:r>
    </w:p>
    <w:p w:rsidR="00A0691B" w:rsidRPr="00D27AA9" w:rsidRDefault="00A0691B" w:rsidP="00D27AA9">
      <w:pPr>
        <w:pStyle w:val="Odstavecseseznamem"/>
        <w:numPr>
          <w:ilvl w:val="0"/>
          <w:numId w:val="43"/>
        </w:numPr>
      </w:pPr>
      <w:r>
        <w:t>Čestné prohlášení o složení konsorcia</w:t>
      </w:r>
    </w:p>
    <w:p w:rsidR="00D27AA9" w:rsidRPr="00D27AA9" w:rsidRDefault="00D27AA9" w:rsidP="00D27AA9">
      <w:pPr>
        <w:pStyle w:val="Odstavecseseznamem"/>
        <w:numPr>
          <w:ilvl w:val="0"/>
          <w:numId w:val="43"/>
        </w:numPr>
      </w:pPr>
      <w:r w:rsidRPr="00D27AA9">
        <w:t xml:space="preserve">pokud výsledek typu </w:t>
      </w:r>
      <w:proofErr w:type="spellStart"/>
      <w:r w:rsidRPr="00D27AA9">
        <w:t>NmetS</w:t>
      </w:r>
      <w:proofErr w:type="spellEnd"/>
      <w:r w:rsidRPr="00D27AA9">
        <w:t xml:space="preserve"> </w:t>
      </w:r>
      <w:r>
        <w:t>–</w:t>
      </w:r>
      <w:r w:rsidRPr="00D27AA9">
        <w:t xml:space="preserve"> povinné</w:t>
      </w:r>
      <w:r>
        <w:t xml:space="preserve"> </w:t>
      </w:r>
      <w:r w:rsidRPr="00D27AA9">
        <w:t>doložení potvrzení certifikačního orgánu</w:t>
      </w:r>
    </w:p>
    <w:p w:rsidR="00D27AA9" w:rsidRPr="00D27AA9" w:rsidRDefault="00D27AA9" w:rsidP="00D27AA9">
      <w:pPr>
        <w:pStyle w:val="Odstavecseseznamem"/>
        <w:numPr>
          <w:ilvl w:val="0"/>
          <w:numId w:val="43"/>
        </w:numPr>
      </w:pPr>
      <w:r w:rsidRPr="00D27AA9">
        <w:t xml:space="preserve">pokud výsledek typu Patent </w:t>
      </w:r>
      <w:r w:rsidR="00A5471B">
        <w:t>–</w:t>
      </w:r>
      <w:r w:rsidRPr="00D27AA9">
        <w:t xml:space="preserve"> povinné</w:t>
      </w:r>
      <w:r w:rsidR="00A5471B">
        <w:t xml:space="preserve"> </w:t>
      </w:r>
      <w:r w:rsidRPr="00D27AA9">
        <w:t>doložení patentové rešerše</w:t>
      </w:r>
    </w:p>
    <w:p w:rsidR="00A0691B" w:rsidRDefault="00D27AA9" w:rsidP="00D27AA9">
      <w:pPr>
        <w:pStyle w:val="Odstavecseseznamem"/>
        <w:numPr>
          <w:ilvl w:val="0"/>
          <w:numId w:val="43"/>
        </w:numPr>
      </w:pPr>
      <w:r w:rsidRPr="00D27AA9">
        <w:t>Výpis z evidence skutečných majitelů</w:t>
      </w:r>
      <w:r>
        <w:t xml:space="preserve"> </w:t>
      </w:r>
      <w:r w:rsidRPr="00D27AA9">
        <w:t>(platí pro všechny uchazeče, vyjma těch,</w:t>
      </w:r>
      <w:r>
        <w:t xml:space="preserve"> </w:t>
      </w:r>
      <w:r w:rsidRPr="00D27AA9">
        <w:t>kteří nemají skutečného majitele)</w:t>
      </w:r>
    </w:p>
    <w:p w:rsidR="00A0691B" w:rsidRDefault="00A0691B" w:rsidP="00D27AA9">
      <w:pPr>
        <w:pStyle w:val="Odstavecseseznamem"/>
        <w:numPr>
          <w:ilvl w:val="0"/>
          <w:numId w:val="43"/>
        </w:numPr>
      </w:pPr>
      <w:r>
        <w:t>Účetní závěrky za roky uvedeny (2018, 2019, 2020)</w:t>
      </w:r>
    </w:p>
    <w:p w:rsidR="00D27AA9" w:rsidRPr="00A0691B" w:rsidRDefault="00A0691B" w:rsidP="00A0691B">
      <w:pPr>
        <w:rPr>
          <w:i/>
          <w:u w:val="single"/>
        </w:rPr>
      </w:pPr>
      <w:r w:rsidRPr="00A0691B">
        <w:rPr>
          <w:i/>
          <w:u w:val="single"/>
        </w:rPr>
        <w:t>Další účastník:</w:t>
      </w:r>
    </w:p>
    <w:p w:rsidR="00A0691B" w:rsidRPr="00D27AA9" w:rsidRDefault="00A0691B" w:rsidP="00A0691B">
      <w:pPr>
        <w:pStyle w:val="Odstavecseseznamem"/>
        <w:numPr>
          <w:ilvl w:val="0"/>
          <w:numId w:val="45"/>
        </w:numPr>
      </w:pPr>
      <w:r w:rsidRPr="00D27AA9">
        <w:t>TA</w:t>
      </w:r>
      <w:r>
        <w:t>Č</w:t>
      </w:r>
      <w:r w:rsidRPr="00D27AA9">
        <w:t xml:space="preserve">R </w:t>
      </w:r>
      <w:proofErr w:type="spellStart"/>
      <w:r w:rsidRPr="00D27AA9">
        <w:t>Application</w:t>
      </w:r>
      <w:proofErr w:type="spellEnd"/>
      <w:r w:rsidRPr="00D27AA9">
        <w:t xml:space="preserve"> </w:t>
      </w:r>
      <w:proofErr w:type="spellStart"/>
      <w:r w:rsidRPr="00D27AA9">
        <w:t>Form</w:t>
      </w:r>
      <w:proofErr w:type="spellEnd"/>
      <w:r w:rsidRPr="00D27AA9">
        <w:t xml:space="preserve"> </w:t>
      </w:r>
    </w:p>
    <w:p w:rsidR="00A0691B" w:rsidRDefault="00A0691B" w:rsidP="00A0691B">
      <w:pPr>
        <w:pStyle w:val="Odstavecseseznamem"/>
        <w:numPr>
          <w:ilvl w:val="0"/>
          <w:numId w:val="45"/>
        </w:numPr>
      </w:pPr>
      <w:r w:rsidRPr="00D27AA9">
        <w:t>Čestné prohlášení (</w:t>
      </w:r>
      <w:proofErr w:type="spellStart"/>
      <w:r w:rsidRPr="00D27AA9">
        <w:t>Sworn</w:t>
      </w:r>
      <w:proofErr w:type="spellEnd"/>
      <w:r w:rsidRPr="00D27AA9">
        <w:t xml:space="preserve"> </w:t>
      </w:r>
      <w:proofErr w:type="spellStart"/>
      <w:r w:rsidRPr="00D27AA9">
        <w:t>Statement</w:t>
      </w:r>
      <w:proofErr w:type="spellEnd"/>
      <w:r>
        <w:t>)</w:t>
      </w:r>
    </w:p>
    <w:p w:rsidR="00A0691B" w:rsidRDefault="00A0691B" w:rsidP="00A0691B">
      <w:pPr>
        <w:pStyle w:val="Odstavecseseznamem"/>
        <w:numPr>
          <w:ilvl w:val="0"/>
          <w:numId w:val="45"/>
        </w:numPr>
      </w:pPr>
      <w:r>
        <w:lastRenderedPageBreak/>
        <w:t>Výpis skutečných majitelů</w:t>
      </w:r>
    </w:p>
    <w:p w:rsidR="00A0691B" w:rsidRDefault="00A0691B" w:rsidP="00A0691B">
      <w:pPr>
        <w:pStyle w:val="Odstavecseseznamem"/>
        <w:numPr>
          <w:ilvl w:val="0"/>
          <w:numId w:val="45"/>
        </w:numPr>
      </w:pPr>
      <w:r>
        <w:t>Účetní závěrky za roky uvedeny (2018, 2019, 2020)</w:t>
      </w:r>
    </w:p>
    <w:p w:rsidR="00D27AA9" w:rsidRPr="00A0691B" w:rsidRDefault="00A0691B" w:rsidP="00A0691B">
      <w:r w:rsidRPr="00A0691B">
        <w:t xml:space="preserve">Povinné přílohy k výstupům/výsledkům, TA CR </w:t>
      </w:r>
      <w:proofErr w:type="spellStart"/>
      <w:r w:rsidRPr="00A0691B">
        <w:t>Application</w:t>
      </w:r>
      <w:proofErr w:type="spellEnd"/>
      <w:r w:rsidRPr="00A0691B">
        <w:t xml:space="preserve"> </w:t>
      </w:r>
      <w:proofErr w:type="spellStart"/>
      <w:r w:rsidRPr="00A0691B">
        <w:t>Form</w:t>
      </w:r>
      <w:proofErr w:type="spellEnd"/>
      <w:r w:rsidRPr="00A0691B">
        <w:t xml:space="preserve"> a Výpis z evidence skutečných</w:t>
      </w:r>
      <w:r>
        <w:t xml:space="preserve"> </w:t>
      </w:r>
      <w:r w:rsidRPr="00A0691B">
        <w:t>majitelů musí být zaslány do termínu pro podání návrhu projektu (</w:t>
      </w:r>
      <w:proofErr w:type="spellStart"/>
      <w:r w:rsidRPr="00A0691B">
        <w:t>proposal</w:t>
      </w:r>
      <w:proofErr w:type="spellEnd"/>
      <w:r w:rsidRPr="00A0691B">
        <w:t xml:space="preserve">) a nebudou dodatečně </w:t>
      </w:r>
      <w:proofErr w:type="spellStart"/>
      <w:r w:rsidRPr="00A0691B">
        <w:t>dožádávány</w:t>
      </w:r>
      <w:proofErr w:type="spellEnd"/>
      <w:r w:rsidRPr="00A0691B">
        <w:t>!</w:t>
      </w:r>
    </w:p>
    <w:p w:rsidR="00A0691B" w:rsidRDefault="00A0691B" w:rsidP="00D27AA9">
      <w:pPr>
        <w:rPr>
          <w:b/>
          <w:color w:val="1F4E79" w:themeColor="accent1" w:themeShade="80"/>
          <w:sz w:val="28"/>
          <w:szCs w:val="28"/>
        </w:rPr>
      </w:pPr>
    </w:p>
    <w:sectPr w:rsidR="00A0691B" w:rsidSect="00E63B3F">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7EA5BD"/>
    <w:multiLevelType w:val="hybridMultilevel"/>
    <w:tmpl w:val="7AE16B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70F8C9B"/>
    <w:multiLevelType w:val="hybridMultilevel"/>
    <w:tmpl w:val="85A7A4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51329D7"/>
    <w:multiLevelType w:val="hybridMultilevel"/>
    <w:tmpl w:val="4D37323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6500726"/>
    <w:multiLevelType w:val="hybridMultilevel"/>
    <w:tmpl w:val="0CA48B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15CE996"/>
    <w:multiLevelType w:val="hybridMultilevel"/>
    <w:tmpl w:val="01416C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4D7D9B"/>
    <w:multiLevelType w:val="hybridMultilevel"/>
    <w:tmpl w:val="0BC833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32B3F75"/>
    <w:multiLevelType w:val="hybridMultilevel"/>
    <w:tmpl w:val="7A908780"/>
    <w:lvl w:ilvl="0" w:tplc="AE1AB2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5B470DF"/>
    <w:multiLevelType w:val="hybridMultilevel"/>
    <w:tmpl w:val="F41EA8E2"/>
    <w:lvl w:ilvl="0" w:tplc="AE1AB2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7562900"/>
    <w:multiLevelType w:val="hybridMultilevel"/>
    <w:tmpl w:val="3D8EC950"/>
    <w:lvl w:ilvl="0" w:tplc="AE1AB2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7F57B60"/>
    <w:multiLevelType w:val="hybridMultilevel"/>
    <w:tmpl w:val="305C813E"/>
    <w:lvl w:ilvl="0" w:tplc="F6FCB40E">
      <w:numFmt w:val="bullet"/>
      <w:lvlText w:val="•"/>
      <w:lvlJc w:val="left"/>
      <w:pPr>
        <w:ind w:left="720" w:hanging="360"/>
      </w:pPr>
      <w:rPr>
        <w:rFonts w:ascii="Cambria" w:eastAsiaTheme="minorHAnsi" w:hAnsi="Cambria" w:cs="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6591882"/>
    <w:multiLevelType w:val="hybridMultilevel"/>
    <w:tmpl w:val="C02AB6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8FB07E9"/>
    <w:multiLevelType w:val="hybridMultilevel"/>
    <w:tmpl w:val="6E8C56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BB7636A"/>
    <w:multiLevelType w:val="hybridMultilevel"/>
    <w:tmpl w:val="54E08D28"/>
    <w:lvl w:ilvl="0" w:tplc="AE1AB298">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226A6F4C"/>
    <w:multiLevelType w:val="hybridMultilevel"/>
    <w:tmpl w:val="1EF88FA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22A9C24D"/>
    <w:multiLevelType w:val="hybridMultilevel"/>
    <w:tmpl w:val="9FAA40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5486635"/>
    <w:multiLevelType w:val="hybridMultilevel"/>
    <w:tmpl w:val="6B32C352"/>
    <w:lvl w:ilvl="0" w:tplc="B8C62A2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56D024F"/>
    <w:multiLevelType w:val="hybridMultilevel"/>
    <w:tmpl w:val="7D6E7FDC"/>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7407552"/>
    <w:multiLevelType w:val="hybridMultilevel"/>
    <w:tmpl w:val="4B928374"/>
    <w:lvl w:ilvl="0" w:tplc="AE1AB298">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8" w15:restartNumberingAfterBreak="0">
    <w:nsid w:val="27F81899"/>
    <w:multiLevelType w:val="hybridMultilevel"/>
    <w:tmpl w:val="A29E06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8B56B73"/>
    <w:multiLevelType w:val="hybridMultilevel"/>
    <w:tmpl w:val="7DE437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B047B0D"/>
    <w:multiLevelType w:val="hybridMultilevel"/>
    <w:tmpl w:val="D86ADD7C"/>
    <w:lvl w:ilvl="0" w:tplc="AE1AB2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C29563C"/>
    <w:multiLevelType w:val="hybridMultilevel"/>
    <w:tmpl w:val="EB4A2ADA"/>
    <w:lvl w:ilvl="0" w:tplc="AE1AB2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419644E"/>
    <w:multiLevelType w:val="hybridMultilevel"/>
    <w:tmpl w:val="F3FC93B8"/>
    <w:lvl w:ilvl="0" w:tplc="F6FCB40E">
      <w:numFmt w:val="bullet"/>
      <w:lvlText w:val="•"/>
      <w:lvlJc w:val="left"/>
      <w:pPr>
        <w:ind w:left="720" w:hanging="360"/>
      </w:pPr>
      <w:rPr>
        <w:rFonts w:ascii="Cambria" w:eastAsiaTheme="minorHAnsi" w:hAnsi="Cambria" w:cs="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5D85771"/>
    <w:multiLevelType w:val="hybridMultilevel"/>
    <w:tmpl w:val="EACE8158"/>
    <w:lvl w:ilvl="0" w:tplc="EAA2C5C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8466CB6"/>
    <w:multiLevelType w:val="hybridMultilevel"/>
    <w:tmpl w:val="9B2AFF82"/>
    <w:lvl w:ilvl="0" w:tplc="AE1AB2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893641C"/>
    <w:multiLevelType w:val="hybridMultilevel"/>
    <w:tmpl w:val="98BABDA4"/>
    <w:lvl w:ilvl="0" w:tplc="AE1AB2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9A86BF9"/>
    <w:multiLevelType w:val="hybridMultilevel"/>
    <w:tmpl w:val="4F364D1E"/>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7" w15:restartNumberingAfterBreak="0">
    <w:nsid w:val="4A6E26BE"/>
    <w:multiLevelType w:val="hybridMultilevel"/>
    <w:tmpl w:val="AEC688B6"/>
    <w:lvl w:ilvl="0" w:tplc="AE1AB298">
      <w:start w:val="1"/>
      <w:numFmt w:val="bullet"/>
      <w:lvlText w:val=""/>
      <w:lvlJc w:val="left"/>
      <w:pPr>
        <w:ind w:left="720" w:hanging="360"/>
      </w:pPr>
      <w:rPr>
        <w:rFonts w:ascii="Symbol" w:hAnsi="Symbol" w:hint="default"/>
      </w:rPr>
    </w:lvl>
    <w:lvl w:ilvl="1" w:tplc="0F1AD11C">
      <w:start w:val="16"/>
      <w:numFmt w:val="bullet"/>
      <w:lvlText w:val=""/>
      <w:lvlJc w:val="left"/>
      <w:pPr>
        <w:ind w:left="1440" w:hanging="360"/>
      </w:pPr>
      <w:rPr>
        <w:rFonts w:ascii="Symbol" w:eastAsiaTheme="minorHAnsi" w:hAnsi="Symbol" w:cstheme="minorBid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B5D6BA9"/>
    <w:multiLevelType w:val="hybridMultilevel"/>
    <w:tmpl w:val="95AC8A5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4F2E5135"/>
    <w:multiLevelType w:val="hybridMultilevel"/>
    <w:tmpl w:val="311E98F2"/>
    <w:lvl w:ilvl="0" w:tplc="AE1AB2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59578A5"/>
    <w:multiLevelType w:val="hybridMultilevel"/>
    <w:tmpl w:val="51047426"/>
    <w:lvl w:ilvl="0" w:tplc="AE1AB2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631675A"/>
    <w:multiLevelType w:val="hybridMultilevel"/>
    <w:tmpl w:val="687E0A00"/>
    <w:lvl w:ilvl="0" w:tplc="F6FCB40E">
      <w:numFmt w:val="bullet"/>
      <w:lvlText w:val="•"/>
      <w:lvlJc w:val="left"/>
      <w:pPr>
        <w:ind w:left="720" w:hanging="360"/>
      </w:pPr>
      <w:rPr>
        <w:rFonts w:ascii="Cambria" w:eastAsiaTheme="minorHAnsi" w:hAnsi="Cambria" w:cs="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67338D9"/>
    <w:multiLevelType w:val="hybridMultilevel"/>
    <w:tmpl w:val="379E28D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57BA0575"/>
    <w:multiLevelType w:val="hybridMultilevel"/>
    <w:tmpl w:val="A1F5C1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B3E19D8"/>
    <w:multiLevelType w:val="hybridMultilevel"/>
    <w:tmpl w:val="2CA8A556"/>
    <w:lvl w:ilvl="0" w:tplc="AE1AB2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7C94999"/>
    <w:multiLevelType w:val="hybridMultilevel"/>
    <w:tmpl w:val="3FCE0E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6666B5"/>
    <w:multiLevelType w:val="hybridMultilevel"/>
    <w:tmpl w:val="E108B1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DD24E28"/>
    <w:multiLevelType w:val="hybridMultilevel"/>
    <w:tmpl w:val="3FA403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DDA0878"/>
    <w:multiLevelType w:val="hybridMultilevel"/>
    <w:tmpl w:val="0D3C0F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EA17230"/>
    <w:multiLevelType w:val="hybridMultilevel"/>
    <w:tmpl w:val="8C02CE02"/>
    <w:lvl w:ilvl="0" w:tplc="AE1AB298">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0" w15:restartNumberingAfterBreak="0">
    <w:nsid w:val="6EF03A86"/>
    <w:multiLevelType w:val="hybridMultilevel"/>
    <w:tmpl w:val="E4E01C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00126BD"/>
    <w:multiLevelType w:val="hybridMultilevel"/>
    <w:tmpl w:val="A330038A"/>
    <w:lvl w:ilvl="0" w:tplc="00000066">
      <w:start w:val="1"/>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1063544"/>
    <w:multiLevelType w:val="hybridMultilevel"/>
    <w:tmpl w:val="B89A7E00"/>
    <w:lvl w:ilvl="0" w:tplc="B06C8D2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3AD7A8A"/>
    <w:multiLevelType w:val="hybridMultilevel"/>
    <w:tmpl w:val="B04AA0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B442239"/>
    <w:multiLevelType w:val="hybridMultilevel"/>
    <w:tmpl w:val="3760E29E"/>
    <w:lvl w:ilvl="0" w:tplc="AE1AB2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26"/>
  </w:num>
  <w:num w:numId="3">
    <w:abstractNumId w:val="35"/>
  </w:num>
  <w:num w:numId="4">
    <w:abstractNumId w:val="16"/>
  </w:num>
  <w:num w:numId="5">
    <w:abstractNumId w:val="33"/>
  </w:num>
  <w:num w:numId="6">
    <w:abstractNumId w:val="2"/>
  </w:num>
  <w:num w:numId="7">
    <w:abstractNumId w:val="4"/>
  </w:num>
  <w:num w:numId="8">
    <w:abstractNumId w:val="14"/>
  </w:num>
  <w:num w:numId="9">
    <w:abstractNumId w:val="18"/>
  </w:num>
  <w:num w:numId="10">
    <w:abstractNumId w:val="3"/>
  </w:num>
  <w:num w:numId="11">
    <w:abstractNumId w:val="11"/>
  </w:num>
  <w:num w:numId="12">
    <w:abstractNumId w:val="22"/>
  </w:num>
  <w:num w:numId="13">
    <w:abstractNumId w:val="31"/>
  </w:num>
  <w:num w:numId="14">
    <w:abstractNumId w:val="9"/>
  </w:num>
  <w:num w:numId="15">
    <w:abstractNumId w:val="40"/>
  </w:num>
  <w:num w:numId="16">
    <w:abstractNumId w:val="29"/>
  </w:num>
  <w:num w:numId="17">
    <w:abstractNumId w:val="25"/>
  </w:num>
  <w:num w:numId="18">
    <w:abstractNumId w:val="42"/>
  </w:num>
  <w:num w:numId="19">
    <w:abstractNumId w:val="21"/>
  </w:num>
  <w:num w:numId="20">
    <w:abstractNumId w:val="15"/>
  </w:num>
  <w:num w:numId="21">
    <w:abstractNumId w:val="41"/>
  </w:num>
  <w:num w:numId="22">
    <w:abstractNumId w:val="13"/>
  </w:num>
  <w:num w:numId="23">
    <w:abstractNumId w:val="0"/>
  </w:num>
  <w:num w:numId="24">
    <w:abstractNumId w:val="1"/>
  </w:num>
  <w:num w:numId="25">
    <w:abstractNumId w:val="6"/>
  </w:num>
  <w:num w:numId="26">
    <w:abstractNumId w:val="30"/>
  </w:num>
  <w:num w:numId="27">
    <w:abstractNumId w:val="34"/>
  </w:num>
  <w:num w:numId="28">
    <w:abstractNumId w:val="23"/>
  </w:num>
  <w:num w:numId="29">
    <w:abstractNumId w:val="27"/>
  </w:num>
  <w:num w:numId="30">
    <w:abstractNumId w:val="39"/>
  </w:num>
  <w:num w:numId="31">
    <w:abstractNumId w:val="17"/>
  </w:num>
  <w:num w:numId="32">
    <w:abstractNumId w:val="12"/>
  </w:num>
  <w:num w:numId="33">
    <w:abstractNumId w:val="20"/>
  </w:num>
  <w:num w:numId="34">
    <w:abstractNumId w:val="7"/>
  </w:num>
  <w:num w:numId="35">
    <w:abstractNumId w:val="28"/>
  </w:num>
  <w:num w:numId="36">
    <w:abstractNumId w:val="37"/>
  </w:num>
  <w:num w:numId="37">
    <w:abstractNumId w:val="38"/>
  </w:num>
  <w:num w:numId="38">
    <w:abstractNumId w:val="5"/>
  </w:num>
  <w:num w:numId="39">
    <w:abstractNumId w:val="36"/>
  </w:num>
  <w:num w:numId="40">
    <w:abstractNumId w:val="32"/>
  </w:num>
  <w:num w:numId="41">
    <w:abstractNumId w:val="10"/>
  </w:num>
  <w:num w:numId="42">
    <w:abstractNumId w:val="43"/>
  </w:num>
  <w:num w:numId="43">
    <w:abstractNumId w:val="44"/>
  </w:num>
  <w:num w:numId="44">
    <w:abstractNumId w:val="24"/>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0F"/>
    <w:rsid w:val="00003606"/>
    <w:rsid w:val="00015B0B"/>
    <w:rsid w:val="0003296A"/>
    <w:rsid w:val="000446FC"/>
    <w:rsid w:val="000662D1"/>
    <w:rsid w:val="00091D91"/>
    <w:rsid w:val="00097BCB"/>
    <w:rsid w:val="000A264A"/>
    <w:rsid w:val="000A6C1B"/>
    <w:rsid w:val="000D771C"/>
    <w:rsid w:val="000E47F9"/>
    <w:rsid w:val="00145603"/>
    <w:rsid w:val="001501C0"/>
    <w:rsid w:val="00156DFD"/>
    <w:rsid w:val="00162A88"/>
    <w:rsid w:val="00191D07"/>
    <w:rsid w:val="001C37FB"/>
    <w:rsid w:val="001F36DD"/>
    <w:rsid w:val="0020633F"/>
    <w:rsid w:val="00210CA9"/>
    <w:rsid w:val="00240BAB"/>
    <w:rsid w:val="0024494D"/>
    <w:rsid w:val="0028247C"/>
    <w:rsid w:val="002F6ADE"/>
    <w:rsid w:val="003143FE"/>
    <w:rsid w:val="003206E0"/>
    <w:rsid w:val="00350D3D"/>
    <w:rsid w:val="00363AFE"/>
    <w:rsid w:val="003727B1"/>
    <w:rsid w:val="00372D69"/>
    <w:rsid w:val="003B2398"/>
    <w:rsid w:val="003D3F77"/>
    <w:rsid w:val="003F0425"/>
    <w:rsid w:val="00421000"/>
    <w:rsid w:val="004411C6"/>
    <w:rsid w:val="00451E14"/>
    <w:rsid w:val="004631FB"/>
    <w:rsid w:val="00463A93"/>
    <w:rsid w:val="00474F9B"/>
    <w:rsid w:val="00481E77"/>
    <w:rsid w:val="00494A7C"/>
    <w:rsid w:val="0049637A"/>
    <w:rsid w:val="0049671A"/>
    <w:rsid w:val="004977D0"/>
    <w:rsid w:val="004A1956"/>
    <w:rsid w:val="004B238D"/>
    <w:rsid w:val="004D705E"/>
    <w:rsid w:val="004E7057"/>
    <w:rsid w:val="00537186"/>
    <w:rsid w:val="0056152C"/>
    <w:rsid w:val="00563DF1"/>
    <w:rsid w:val="0057770F"/>
    <w:rsid w:val="0058002C"/>
    <w:rsid w:val="00595A63"/>
    <w:rsid w:val="005962B5"/>
    <w:rsid w:val="005C0527"/>
    <w:rsid w:val="005D14AA"/>
    <w:rsid w:val="005F34AF"/>
    <w:rsid w:val="006009D9"/>
    <w:rsid w:val="00610F8F"/>
    <w:rsid w:val="0062316E"/>
    <w:rsid w:val="00624290"/>
    <w:rsid w:val="00682062"/>
    <w:rsid w:val="006A7E18"/>
    <w:rsid w:val="006B0020"/>
    <w:rsid w:val="006F468F"/>
    <w:rsid w:val="00734728"/>
    <w:rsid w:val="00747055"/>
    <w:rsid w:val="00777781"/>
    <w:rsid w:val="00780B52"/>
    <w:rsid w:val="007C2781"/>
    <w:rsid w:val="007D0697"/>
    <w:rsid w:val="007E06D4"/>
    <w:rsid w:val="007E3687"/>
    <w:rsid w:val="00803ECA"/>
    <w:rsid w:val="00832490"/>
    <w:rsid w:val="0085030B"/>
    <w:rsid w:val="008735D5"/>
    <w:rsid w:val="008747AC"/>
    <w:rsid w:val="00894BEB"/>
    <w:rsid w:val="008B7725"/>
    <w:rsid w:val="008F2375"/>
    <w:rsid w:val="009067D2"/>
    <w:rsid w:val="00924EF2"/>
    <w:rsid w:val="00933358"/>
    <w:rsid w:val="00942569"/>
    <w:rsid w:val="009E3754"/>
    <w:rsid w:val="009F66AE"/>
    <w:rsid w:val="00A0691B"/>
    <w:rsid w:val="00A24015"/>
    <w:rsid w:val="00A26BA0"/>
    <w:rsid w:val="00A5471B"/>
    <w:rsid w:val="00A5483D"/>
    <w:rsid w:val="00A65AED"/>
    <w:rsid w:val="00A70CA5"/>
    <w:rsid w:val="00A9023A"/>
    <w:rsid w:val="00AC448A"/>
    <w:rsid w:val="00AD48D4"/>
    <w:rsid w:val="00AF7C43"/>
    <w:rsid w:val="00B00F52"/>
    <w:rsid w:val="00B243F4"/>
    <w:rsid w:val="00B34DF4"/>
    <w:rsid w:val="00BA56D5"/>
    <w:rsid w:val="00BC5DC4"/>
    <w:rsid w:val="00BD7394"/>
    <w:rsid w:val="00BE63AB"/>
    <w:rsid w:val="00C10D9F"/>
    <w:rsid w:val="00C10EA8"/>
    <w:rsid w:val="00C2215E"/>
    <w:rsid w:val="00C27241"/>
    <w:rsid w:val="00C43508"/>
    <w:rsid w:val="00C545CA"/>
    <w:rsid w:val="00C654CB"/>
    <w:rsid w:val="00C714B4"/>
    <w:rsid w:val="00C86BCA"/>
    <w:rsid w:val="00C86E99"/>
    <w:rsid w:val="00CA5DAC"/>
    <w:rsid w:val="00CD1210"/>
    <w:rsid w:val="00CD7938"/>
    <w:rsid w:val="00CE486E"/>
    <w:rsid w:val="00D2274A"/>
    <w:rsid w:val="00D27AA9"/>
    <w:rsid w:val="00D32D3A"/>
    <w:rsid w:val="00D3760E"/>
    <w:rsid w:val="00D66035"/>
    <w:rsid w:val="00D67131"/>
    <w:rsid w:val="00DA541B"/>
    <w:rsid w:val="00DB7603"/>
    <w:rsid w:val="00DF3F46"/>
    <w:rsid w:val="00E071A8"/>
    <w:rsid w:val="00E11D70"/>
    <w:rsid w:val="00E13EC8"/>
    <w:rsid w:val="00E25555"/>
    <w:rsid w:val="00E30C7E"/>
    <w:rsid w:val="00E35ACB"/>
    <w:rsid w:val="00E36A22"/>
    <w:rsid w:val="00E407E5"/>
    <w:rsid w:val="00E54012"/>
    <w:rsid w:val="00E63B3F"/>
    <w:rsid w:val="00E66ADA"/>
    <w:rsid w:val="00EB3EF0"/>
    <w:rsid w:val="00EE36B1"/>
    <w:rsid w:val="00F148C0"/>
    <w:rsid w:val="00F26DA9"/>
    <w:rsid w:val="00F2739C"/>
    <w:rsid w:val="00F36C80"/>
    <w:rsid w:val="00F52D4A"/>
    <w:rsid w:val="00F73D45"/>
    <w:rsid w:val="00F83284"/>
    <w:rsid w:val="00F836DD"/>
    <w:rsid w:val="00FD7B7F"/>
    <w:rsid w:val="00FF1740"/>
    <w:rsid w:val="00FF7A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FCB2E-4DBB-4516-BEAB-79E05E5F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ubheading-category1">
    <w:name w:val="subheading-category1"/>
    <w:basedOn w:val="Standardnpsmoodstavce"/>
    <w:rsid w:val="0057770F"/>
    <w:rPr>
      <w:caps/>
      <w:sz w:val="22"/>
      <w:szCs w:val="22"/>
    </w:rPr>
  </w:style>
  <w:style w:type="paragraph" w:styleId="Odstavecseseznamem">
    <w:name w:val="List Paragraph"/>
    <w:basedOn w:val="Normln"/>
    <w:uiPriority w:val="34"/>
    <w:qFormat/>
    <w:rsid w:val="0057770F"/>
    <w:pPr>
      <w:ind w:left="720"/>
      <w:contextualSpacing/>
    </w:pPr>
  </w:style>
  <w:style w:type="character" w:styleId="Siln">
    <w:name w:val="Strong"/>
    <w:basedOn w:val="Standardnpsmoodstavce"/>
    <w:uiPriority w:val="22"/>
    <w:qFormat/>
    <w:rsid w:val="0057770F"/>
    <w:rPr>
      <w:b/>
      <w:bCs/>
    </w:rPr>
  </w:style>
  <w:style w:type="character" w:styleId="Hypertextovodkaz">
    <w:name w:val="Hyperlink"/>
    <w:basedOn w:val="Standardnpsmoodstavce"/>
    <w:uiPriority w:val="99"/>
    <w:unhideWhenUsed/>
    <w:rsid w:val="00894BEB"/>
    <w:rPr>
      <w:color w:val="0563C1" w:themeColor="hyperlink"/>
      <w:u w:val="single"/>
    </w:rPr>
  </w:style>
  <w:style w:type="paragraph" w:customStyle="1" w:styleId="Default">
    <w:name w:val="Default"/>
    <w:rsid w:val="00097BCB"/>
    <w:pPr>
      <w:autoSpaceDE w:val="0"/>
      <w:autoSpaceDN w:val="0"/>
      <w:adjustRightInd w:val="0"/>
      <w:spacing w:after="0" w:line="240" w:lineRule="auto"/>
    </w:pPr>
    <w:rPr>
      <w:rFonts w:ascii="Cambria" w:hAnsi="Cambria" w:cs="Cambria"/>
      <w:color w:val="000000"/>
      <w:sz w:val="24"/>
      <w:szCs w:val="24"/>
    </w:rPr>
  </w:style>
  <w:style w:type="character" w:styleId="Sledovanodkaz">
    <w:name w:val="FollowedHyperlink"/>
    <w:basedOn w:val="Standardnpsmoodstavce"/>
    <w:uiPriority w:val="99"/>
    <w:semiHidden/>
    <w:unhideWhenUsed/>
    <w:rsid w:val="00350D3D"/>
    <w:rPr>
      <w:color w:val="954F72" w:themeColor="followedHyperlink"/>
      <w:u w:val="single"/>
    </w:rPr>
  </w:style>
  <w:style w:type="character" w:customStyle="1" w:styleId="UnresolvedMention">
    <w:name w:val="Unresolved Mention"/>
    <w:basedOn w:val="Standardnpsmoodstavce"/>
    <w:uiPriority w:val="99"/>
    <w:semiHidden/>
    <w:unhideWhenUsed/>
    <w:rsid w:val="00156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kova@vutbr.cz" TargetMode="External"/><Relationship Id="rId3" Type="http://schemas.openxmlformats.org/officeDocument/2006/relationships/styles" Target="styles.xml"/><Relationship Id="rId7" Type="http://schemas.openxmlformats.org/officeDocument/2006/relationships/hyperlink" Target="mailto:dankovam@vutbr.cz%2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egatova@vutbr.c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histera.eu" TargetMode="External"/><Relationship Id="rId4" Type="http://schemas.openxmlformats.org/officeDocument/2006/relationships/settings" Target="settings.xml"/><Relationship Id="rId9" Type="http://schemas.openxmlformats.org/officeDocument/2006/relationships/hyperlink" Target="https://www.tacr.cz/soutez/chist-era/call-2021-6/"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315C3-2E30-409A-A818-033413746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652</Words>
  <Characters>3847</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Legátová Martina</dc:creator>
  <cp:keywords/>
  <dc:description/>
  <cp:lastModifiedBy>Eva Vavrečková</cp:lastModifiedBy>
  <cp:revision>2</cp:revision>
  <dcterms:created xsi:type="dcterms:W3CDTF">2021-11-18T13:28:00Z</dcterms:created>
  <dcterms:modified xsi:type="dcterms:W3CDTF">2021-11-18T13:28:00Z</dcterms:modified>
</cp:coreProperties>
</file>