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69" w:rsidRPr="00372D69" w:rsidRDefault="00C86BCA" w:rsidP="00372D69">
      <w:pPr>
        <w:rPr>
          <w:rStyle w:val="subheading-category1"/>
          <w:b/>
          <w:caps w:val="0"/>
          <w:color w:val="0070C0"/>
          <w:sz w:val="36"/>
          <w:szCs w:val="36"/>
        </w:rPr>
      </w:pPr>
      <w:bookmarkStart w:id="0" w:name="_GoBack"/>
      <w:bookmarkEnd w:id="0"/>
      <w:r>
        <w:rPr>
          <w:rStyle w:val="subheading-category1"/>
          <w:b/>
          <w:caps w:val="0"/>
          <w:color w:val="0070C0"/>
          <w:sz w:val="36"/>
          <w:szCs w:val="36"/>
        </w:rPr>
        <w:t>Partnerství pro biodiverzitu Call 2021</w:t>
      </w:r>
    </w:p>
    <w:p w:rsidR="00240BAB" w:rsidRDefault="00240BAB" w:rsidP="0057770F"/>
    <w:p w:rsidR="0057770F" w:rsidRPr="00372D69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372D69">
        <w:rPr>
          <w:b/>
          <w:color w:val="1F4E79" w:themeColor="accent1" w:themeShade="80"/>
          <w:sz w:val="28"/>
          <w:szCs w:val="28"/>
        </w:rPr>
        <w:t>Důležité termíny:</w:t>
      </w:r>
    </w:p>
    <w:p w:rsidR="0057770F" w:rsidRPr="00E36A22" w:rsidRDefault="0057770F" w:rsidP="007C2781">
      <w:pPr>
        <w:spacing w:line="240" w:lineRule="auto"/>
        <w:rPr>
          <w:b/>
        </w:rPr>
      </w:pPr>
      <w:r w:rsidRPr="00E36A22">
        <w:t xml:space="preserve">Soutěžní lhůta začíná: </w:t>
      </w:r>
      <w:r w:rsidR="00C86BCA" w:rsidRPr="00E36A22">
        <w:rPr>
          <w:b/>
        </w:rPr>
        <w:t>1.10.2021</w:t>
      </w:r>
    </w:p>
    <w:p w:rsidR="0057770F" w:rsidRPr="00E36A22" w:rsidRDefault="0057770F" w:rsidP="007C2781">
      <w:pPr>
        <w:spacing w:line="240" w:lineRule="auto"/>
      </w:pPr>
      <w:r w:rsidRPr="00E36A22">
        <w:t>Soutěžní lhůta</w:t>
      </w:r>
      <w:r w:rsidR="006F468F" w:rsidRPr="00E36A22">
        <w:t xml:space="preserve"> pro podání zkrácené žádosti</w:t>
      </w:r>
      <w:r w:rsidR="00E36A22" w:rsidRPr="00E36A22">
        <w:t xml:space="preserve"> (</w:t>
      </w:r>
      <w:proofErr w:type="spellStart"/>
      <w:r w:rsidR="00E36A22" w:rsidRPr="00E36A22">
        <w:t>pre-proposals</w:t>
      </w:r>
      <w:proofErr w:type="spellEnd"/>
      <w:r w:rsidR="00E36A22" w:rsidRPr="00E36A22">
        <w:t>)</w:t>
      </w:r>
      <w:r w:rsidRPr="00E36A22">
        <w:t xml:space="preserve"> končí: </w:t>
      </w:r>
      <w:r w:rsidR="00C86BCA" w:rsidRPr="00E36A22">
        <w:rPr>
          <w:b/>
        </w:rPr>
        <w:t>30.</w:t>
      </w:r>
      <w:r w:rsidR="00AF7C43">
        <w:rPr>
          <w:b/>
        </w:rPr>
        <w:t xml:space="preserve"> </w:t>
      </w:r>
      <w:r w:rsidR="00C86BCA" w:rsidRPr="00E36A22">
        <w:rPr>
          <w:b/>
        </w:rPr>
        <w:t>11.</w:t>
      </w:r>
      <w:r w:rsidR="00AF7C43">
        <w:rPr>
          <w:b/>
        </w:rPr>
        <w:t xml:space="preserve"> </w:t>
      </w:r>
      <w:r w:rsidR="00C86BCA" w:rsidRPr="00E36A22">
        <w:rPr>
          <w:b/>
        </w:rPr>
        <w:t>2021</w:t>
      </w:r>
      <w:r w:rsidR="00E36A22" w:rsidRPr="00E36A22">
        <w:rPr>
          <w:b/>
        </w:rPr>
        <w:t>v 15 hodin</w:t>
      </w:r>
      <w:r w:rsidRPr="00E36A22">
        <w:t xml:space="preserve">; </w:t>
      </w:r>
    </w:p>
    <w:p w:rsidR="005C0527" w:rsidRPr="00E36A22" w:rsidRDefault="005C0527" w:rsidP="007C2781">
      <w:pPr>
        <w:spacing w:line="240" w:lineRule="auto"/>
      </w:pPr>
      <w:r w:rsidRPr="00E36A22">
        <w:t>Soutěžní lhůta pro podání celé žádosti</w:t>
      </w:r>
      <w:r w:rsidR="00E36A22" w:rsidRPr="00E36A22">
        <w:t xml:space="preserve"> (full-</w:t>
      </w:r>
      <w:proofErr w:type="spellStart"/>
      <w:r w:rsidR="00E36A22" w:rsidRPr="00E36A22">
        <w:t>proposals</w:t>
      </w:r>
      <w:proofErr w:type="spellEnd"/>
      <w:r w:rsidR="00E36A22" w:rsidRPr="00E36A22">
        <w:t>)</w:t>
      </w:r>
      <w:r w:rsidRPr="00E36A22">
        <w:t xml:space="preserve"> končí: </w:t>
      </w:r>
      <w:r w:rsidR="00E36A22" w:rsidRPr="00E36A22">
        <w:rPr>
          <w:b/>
        </w:rPr>
        <w:t>14.</w:t>
      </w:r>
      <w:r w:rsidR="00AF7C43">
        <w:rPr>
          <w:b/>
        </w:rPr>
        <w:t xml:space="preserve"> </w:t>
      </w:r>
      <w:r w:rsidR="00E36A22" w:rsidRPr="00E36A22">
        <w:rPr>
          <w:b/>
        </w:rPr>
        <w:t>4.</w:t>
      </w:r>
      <w:r w:rsidR="00AF7C43">
        <w:rPr>
          <w:b/>
        </w:rPr>
        <w:t xml:space="preserve"> </w:t>
      </w:r>
      <w:r w:rsidR="00E36A22" w:rsidRPr="00E36A22">
        <w:rPr>
          <w:b/>
        </w:rPr>
        <w:t>2022 v 15 hodin</w:t>
      </w:r>
      <w:r w:rsidR="00F73D45" w:rsidRPr="00E36A22">
        <w:rPr>
          <w:b/>
        </w:rPr>
        <w:t>;</w:t>
      </w:r>
    </w:p>
    <w:p w:rsidR="00894BEB" w:rsidRPr="0049637A" w:rsidRDefault="00894BEB" w:rsidP="007C2781">
      <w:pPr>
        <w:spacing w:line="240" w:lineRule="auto"/>
        <w:rPr>
          <w:b/>
        </w:rPr>
      </w:pPr>
      <w:r w:rsidRPr="00E36A22">
        <w:t>Vyhlášení výsledků soutěže:</w:t>
      </w:r>
      <w:r w:rsidRPr="00E36A22">
        <w:rPr>
          <w:b/>
        </w:rPr>
        <w:t xml:space="preserve"> </w:t>
      </w:r>
      <w:r w:rsidR="00C86BCA" w:rsidRPr="00E36A22">
        <w:rPr>
          <w:b/>
        </w:rPr>
        <w:t>září/říjen 2022</w:t>
      </w:r>
    </w:p>
    <w:p w:rsidR="00894BEB" w:rsidRPr="00BD7394" w:rsidRDefault="00894BEB" w:rsidP="007C2781">
      <w:pPr>
        <w:spacing w:line="240" w:lineRule="auto"/>
        <w:rPr>
          <w:b/>
        </w:rPr>
      </w:pPr>
      <w:r w:rsidRPr="0085030B">
        <w:t xml:space="preserve">Zahájení </w:t>
      </w:r>
      <w:r w:rsidR="00E36A22">
        <w:t xml:space="preserve">financování na českou stranu </w:t>
      </w:r>
      <w:r w:rsidRPr="0085030B">
        <w:t>projektu:</w:t>
      </w:r>
      <w:r w:rsidRPr="0085030B">
        <w:rPr>
          <w:b/>
        </w:rPr>
        <w:t xml:space="preserve"> </w:t>
      </w:r>
      <w:r w:rsidR="00AF7C43">
        <w:rPr>
          <w:b/>
        </w:rPr>
        <w:t xml:space="preserve">od </w:t>
      </w:r>
      <w:r w:rsidR="0085030B" w:rsidRPr="0085030B">
        <w:rPr>
          <w:b/>
        </w:rPr>
        <w:t>1.</w:t>
      </w:r>
      <w:r w:rsidR="00AF7C43">
        <w:rPr>
          <w:b/>
        </w:rPr>
        <w:t xml:space="preserve"> </w:t>
      </w:r>
      <w:r w:rsidR="0085030B" w:rsidRPr="0085030B">
        <w:rPr>
          <w:b/>
        </w:rPr>
        <w:t>1.</w:t>
      </w:r>
      <w:r w:rsidR="00AF7C43">
        <w:rPr>
          <w:b/>
        </w:rPr>
        <w:t xml:space="preserve"> </w:t>
      </w:r>
      <w:r w:rsidR="0085030B" w:rsidRPr="0085030B">
        <w:rPr>
          <w:b/>
        </w:rPr>
        <w:t>2023</w:t>
      </w:r>
      <w:r w:rsidR="00240BAB" w:rsidRPr="00BD7394">
        <w:rPr>
          <w:b/>
        </w:rPr>
        <w:t xml:space="preserve"> </w:t>
      </w:r>
    </w:p>
    <w:p w:rsidR="0062316E" w:rsidRPr="00372D69" w:rsidRDefault="0062316E" w:rsidP="0057770F">
      <w:pPr>
        <w:rPr>
          <w:b/>
          <w:highlight w:val="yellow"/>
        </w:rPr>
      </w:pPr>
    </w:p>
    <w:p w:rsidR="004A1956" w:rsidRPr="00372D69" w:rsidRDefault="004A1956" w:rsidP="0057770F">
      <w:pPr>
        <w:rPr>
          <w:b/>
          <w:color w:val="1F4E79" w:themeColor="accent1" w:themeShade="80"/>
          <w:sz w:val="28"/>
          <w:szCs w:val="28"/>
        </w:rPr>
      </w:pPr>
      <w:r w:rsidRPr="00372D69">
        <w:rPr>
          <w:b/>
          <w:color w:val="1F4E79" w:themeColor="accent1" w:themeShade="80"/>
          <w:sz w:val="28"/>
          <w:szCs w:val="28"/>
        </w:rPr>
        <w:t>Kontaktní osoby:</w:t>
      </w:r>
    </w:p>
    <w:p w:rsidR="004A1956" w:rsidRPr="00372D69" w:rsidRDefault="00E30C7E" w:rsidP="0057770F">
      <w:pPr>
        <w:rPr>
          <w:b/>
        </w:rPr>
      </w:pPr>
      <w:r w:rsidRPr="00372D69">
        <w:rPr>
          <w:b/>
        </w:rPr>
        <w:t>S</w:t>
      </w:r>
      <w:r w:rsidR="004A1956" w:rsidRPr="00372D69">
        <w:rPr>
          <w:b/>
        </w:rPr>
        <w:t>outěž TAČR na VUT Brno – Ing. Martina Legátová (</w:t>
      </w:r>
      <w:hyperlink r:id="rId6" w:history="1">
        <w:r w:rsidR="00AF7C43" w:rsidRPr="00795157">
          <w:rPr>
            <w:rStyle w:val="Hypertextovodkaz"/>
            <w:b/>
          </w:rPr>
          <w:t>legatova@vutbr.cz</w:t>
        </w:r>
      </w:hyperlink>
      <w:r w:rsidR="004A1956" w:rsidRPr="00372D69">
        <w:rPr>
          <w:b/>
        </w:rPr>
        <w:t>, kl. 5237)</w:t>
      </w:r>
    </w:p>
    <w:p w:rsidR="004A1956" w:rsidRPr="00372D69" w:rsidRDefault="004A1956" w:rsidP="0057770F">
      <w:pPr>
        <w:rPr>
          <w:b/>
        </w:rPr>
      </w:pPr>
      <w:r w:rsidRPr="00372D69">
        <w:rPr>
          <w:b/>
        </w:rPr>
        <w:t xml:space="preserve">Duševní vlastnictví, konzultace </w:t>
      </w:r>
      <w:r w:rsidR="004411C6" w:rsidRPr="00372D69">
        <w:rPr>
          <w:b/>
        </w:rPr>
        <w:t xml:space="preserve">konsorciální </w:t>
      </w:r>
      <w:r w:rsidRPr="00372D69">
        <w:rPr>
          <w:b/>
        </w:rPr>
        <w:t>smlouvy mezi uchazeči</w:t>
      </w:r>
      <w:r w:rsidR="00474F9B" w:rsidRPr="00372D69">
        <w:rPr>
          <w:b/>
        </w:rPr>
        <w:t>,</w:t>
      </w:r>
      <w:r w:rsidRPr="00372D69">
        <w:rPr>
          <w:b/>
        </w:rPr>
        <w:t xml:space="preserve"> OTT </w:t>
      </w:r>
      <w:r w:rsidR="00AF7C43">
        <w:rPr>
          <w:b/>
        </w:rPr>
        <w:t>– Michaela Daňková</w:t>
      </w:r>
      <w:r w:rsidRPr="00372D69">
        <w:rPr>
          <w:b/>
        </w:rPr>
        <w:t xml:space="preserve"> (</w:t>
      </w:r>
      <w:hyperlink r:id="rId7" w:history="1">
        <w:r w:rsidR="00C86BCA" w:rsidRPr="00795157">
          <w:rPr>
            <w:rStyle w:val="Hypertextovodkaz"/>
          </w:rPr>
          <w:t xml:space="preserve">dankovam@vutbr.cz </w:t>
        </w:r>
      </w:hyperlink>
      <w:r w:rsidRPr="00372D69">
        <w:rPr>
          <w:b/>
        </w:rPr>
        <w:t>, kl. 422</w:t>
      </w:r>
      <w:r w:rsidR="00C86BCA">
        <w:rPr>
          <w:b/>
        </w:rPr>
        <w:t>8</w:t>
      </w:r>
      <w:r w:rsidRPr="00372D69">
        <w:rPr>
          <w:b/>
        </w:rPr>
        <w:t>)</w:t>
      </w:r>
    </w:p>
    <w:p w:rsidR="00A70CA5" w:rsidRPr="00372D69" w:rsidRDefault="00A70CA5" w:rsidP="0057770F">
      <w:pPr>
        <w:rPr>
          <w:b/>
        </w:rPr>
      </w:pPr>
      <w:r w:rsidRPr="00372D69">
        <w:rPr>
          <w:b/>
        </w:rPr>
        <w:t>Otázka DPH v projektech TAČR – Ing. Romana Sasková (</w:t>
      </w:r>
      <w:hyperlink r:id="rId8" w:history="1">
        <w:r w:rsidR="00C86BCA" w:rsidRPr="00795157">
          <w:rPr>
            <w:rStyle w:val="Hypertextovodkaz"/>
            <w:b/>
          </w:rPr>
          <w:t>saskova@vutbr.cz</w:t>
        </w:r>
      </w:hyperlink>
      <w:r w:rsidRPr="00372D69">
        <w:rPr>
          <w:b/>
        </w:rPr>
        <w:t>, kl. 5356)</w:t>
      </w:r>
    </w:p>
    <w:p w:rsidR="005962B5" w:rsidRPr="00372D69" w:rsidRDefault="005962B5" w:rsidP="0057770F">
      <w:pPr>
        <w:rPr>
          <w:b/>
          <w:highlight w:val="yellow"/>
        </w:rPr>
      </w:pPr>
    </w:p>
    <w:p w:rsidR="00C10D9F" w:rsidRPr="00372D69" w:rsidRDefault="00C10D9F" w:rsidP="0057770F">
      <w:pPr>
        <w:rPr>
          <w:b/>
          <w:color w:val="1F4E79" w:themeColor="accent1" w:themeShade="80"/>
          <w:sz w:val="28"/>
          <w:szCs w:val="28"/>
        </w:rPr>
      </w:pPr>
      <w:r w:rsidRPr="00372D69">
        <w:rPr>
          <w:b/>
          <w:color w:val="1F4E79" w:themeColor="accent1" w:themeShade="80"/>
          <w:sz w:val="28"/>
          <w:szCs w:val="28"/>
        </w:rPr>
        <w:t>Odkaz na soutěž:</w:t>
      </w:r>
    </w:p>
    <w:p w:rsidR="00156DFD" w:rsidRDefault="009020DF" w:rsidP="00D32D3A">
      <w:hyperlink r:id="rId9" w:history="1">
        <w:r w:rsidR="00E66ADA" w:rsidRPr="00795157">
          <w:rPr>
            <w:rStyle w:val="Hypertextovodkaz"/>
          </w:rPr>
          <w:t>https://www.tacr.cz/soutez/partnerstvi-pro-biodiverzitu/call-2021-5/</w:t>
        </w:r>
      </w:hyperlink>
      <w:r w:rsidR="00E66ADA">
        <w:t xml:space="preserve"> </w:t>
      </w:r>
    </w:p>
    <w:p w:rsidR="0049637A" w:rsidRPr="00E36A22" w:rsidRDefault="009020DF" w:rsidP="00D32D3A">
      <w:pPr>
        <w:rPr>
          <w:b/>
          <w:color w:val="1F4E79" w:themeColor="accent1" w:themeShade="80"/>
        </w:rPr>
      </w:pPr>
      <w:hyperlink r:id="rId10" w:history="1">
        <w:r w:rsidR="00E36A22" w:rsidRPr="00E36A22">
          <w:rPr>
            <w:rStyle w:val="Hypertextovodkaz"/>
            <w:b/>
          </w:rPr>
          <w:t>https://www.biodiversa.org/1772</w:t>
        </w:r>
      </w:hyperlink>
      <w:r w:rsidR="00E36A22" w:rsidRPr="00E36A22">
        <w:rPr>
          <w:b/>
          <w:color w:val="1F4E79" w:themeColor="accent1" w:themeShade="80"/>
        </w:rPr>
        <w:t xml:space="preserve"> </w:t>
      </w:r>
    </w:p>
    <w:p w:rsidR="00D32D3A" w:rsidRPr="00372D69" w:rsidRDefault="00D32D3A" w:rsidP="00D32D3A">
      <w:pPr>
        <w:rPr>
          <w:b/>
          <w:color w:val="1F4E79" w:themeColor="accent1" w:themeShade="80"/>
          <w:sz w:val="28"/>
          <w:szCs w:val="28"/>
        </w:rPr>
      </w:pPr>
      <w:r w:rsidRPr="00372D69">
        <w:rPr>
          <w:b/>
          <w:color w:val="1F4E79" w:themeColor="accent1" w:themeShade="80"/>
          <w:sz w:val="28"/>
          <w:szCs w:val="28"/>
        </w:rPr>
        <w:t>Základní finanční údaje</w:t>
      </w:r>
    </w:p>
    <w:p w:rsidR="00D32D3A" w:rsidRPr="00372D69" w:rsidRDefault="00D32D3A" w:rsidP="00D32D3A">
      <w:pPr>
        <w:spacing w:line="100" w:lineRule="atLeast"/>
        <w:rPr>
          <w:b/>
          <w:color w:val="FF0000"/>
        </w:rPr>
      </w:pPr>
      <w:r w:rsidRPr="00372D69">
        <w:t xml:space="preserve">Alokace soutěže </w:t>
      </w:r>
      <w:r w:rsidR="00E66ADA">
        <w:rPr>
          <w:b/>
          <w:color w:val="FF0000"/>
        </w:rPr>
        <w:t>730 000</w:t>
      </w:r>
      <w:r w:rsidR="00240BAB" w:rsidRPr="00372D69">
        <w:rPr>
          <w:b/>
          <w:color w:val="FF0000"/>
        </w:rPr>
        <w:t xml:space="preserve"> EUR</w:t>
      </w:r>
    </w:p>
    <w:p w:rsidR="00D32D3A" w:rsidRPr="00372D69" w:rsidRDefault="00D32D3A" w:rsidP="00D32D3A">
      <w:pPr>
        <w:spacing w:line="100" w:lineRule="atLeast"/>
        <w:rPr>
          <w:color w:val="FF0000"/>
        </w:rPr>
      </w:pPr>
      <w:r w:rsidRPr="00372D69">
        <w:t>Maximální částka podpory na jeden projekt</w:t>
      </w:r>
      <w:r w:rsidRPr="00372D69">
        <w:rPr>
          <w:color w:val="FF0000"/>
        </w:rPr>
        <w:t>:</w:t>
      </w:r>
      <w:r w:rsidR="00240BAB" w:rsidRPr="00372D69">
        <w:rPr>
          <w:color w:val="FF0000"/>
        </w:rPr>
        <w:t xml:space="preserve"> </w:t>
      </w:r>
      <w:r w:rsidR="00E66ADA">
        <w:rPr>
          <w:b/>
          <w:color w:val="FF0000"/>
        </w:rPr>
        <w:t>300 000</w:t>
      </w:r>
      <w:r w:rsidR="00240BAB" w:rsidRPr="00372D69">
        <w:rPr>
          <w:b/>
          <w:color w:val="FF0000"/>
        </w:rPr>
        <w:t xml:space="preserve"> EUR</w:t>
      </w:r>
    </w:p>
    <w:p w:rsidR="00D32D3A" w:rsidRPr="00372D69" w:rsidRDefault="00D32D3A" w:rsidP="00D32D3A">
      <w:pPr>
        <w:spacing w:line="100" w:lineRule="atLeast"/>
        <w:rPr>
          <w:b/>
        </w:rPr>
      </w:pPr>
      <w:r w:rsidRPr="00372D69">
        <w:t xml:space="preserve">Maximální intenzita podpory na </w:t>
      </w:r>
      <w:r w:rsidR="00E66ADA">
        <w:t>českou stranu</w:t>
      </w:r>
      <w:r w:rsidRPr="00372D69">
        <w:t>:</w:t>
      </w:r>
      <w:r w:rsidR="00240BAB" w:rsidRPr="00372D69">
        <w:t xml:space="preserve"> </w:t>
      </w:r>
      <w:r w:rsidR="00156DFD">
        <w:rPr>
          <w:b/>
        </w:rPr>
        <w:t>8</w:t>
      </w:r>
      <w:r w:rsidR="00E66ADA">
        <w:rPr>
          <w:b/>
        </w:rPr>
        <w:t>5</w:t>
      </w:r>
      <w:r w:rsidR="00240BAB" w:rsidRPr="00372D69">
        <w:rPr>
          <w:b/>
        </w:rPr>
        <w:t>%</w:t>
      </w:r>
      <w:r w:rsidR="0003296A" w:rsidRPr="00372D69">
        <w:rPr>
          <w:b/>
        </w:rPr>
        <w:t xml:space="preserve"> </w:t>
      </w:r>
    </w:p>
    <w:p w:rsidR="00734728" w:rsidRPr="00372D69" w:rsidRDefault="00734728" w:rsidP="00D32D3A">
      <w:pPr>
        <w:spacing w:line="100" w:lineRule="atLeast"/>
        <w:rPr>
          <w:color w:val="FF0000"/>
        </w:rPr>
      </w:pPr>
      <w:r w:rsidRPr="00372D69">
        <w:rPr>
          <w:b/>
          <w:color w:val="FF0000"/>
        </w:rPr>
        <w:t xml:space="preserve">Výzkumná organizace má také maximální intenzitu podpory na projekt </w:t>
      </w:r>
      <w:r w:rsidR="00156DFD">
        <w:rPr>
          <w:b/>
          <w:color w:val="FF0000"/>
        </w:rPr>
        <w:t>100</w:t>
      </w:r>
      <w:r w:rsidRPr="00372D69">
        <w:rPr>
          <w:b/>
          <w:color w:val="FF0000"/>
        </w:rPr>
        <w:t>%.</w:t>
      </w:r>
    </w:p>
    <w:p w:rsidR="00372D69" w:rsidRDefault="00372D69" w:rsidP="0057770F">
      <w:pPr>
        <w:rPr>
          <w:b/>
          <w:color w:val="1F4E79" w:themeColor="accent1" w:themeShade="80"/>
          <w:sz w:val="28"/>
          <w:szCs w:val="28"/>
          <w:highlight w:val="yellow"/>
        </w:rPr>
      </w:pPr>
    </w:p>
    <w:p w:rsidR="00350D3D" w:rsidRDefault="00474F9B" w:rsidP="0057770F">
      <w:pPr>
        <w:rPr>
          <w:b/>
          <w:color w:val="1F4E79" w:themeColor="accent1" w:themeShade="80"/>
          <w:sz w:val="28"/>
          <w:szCs w:val="28"/>
        </w:rPr>
      </w:pPr>
      <w:r w:rsidRPr="008735D5">
        <w:rPr>
          <w:b/>
          <w:color w:val="1F4E79" w:themeColor="accent1" w:themeShade="80"/>
          <w:sz w:val="28"/>
          <w:szCs w:val="28"/>
        </w:rPr>
        <w:t>Zaměření programu:</w:t>
      </w:r>
    </w:p>
    <w:p w:rsidR="0049671A" w:rsidRDefault="00E66ADA" w:rsidP="00E66ADA">
      <w:r>
        <w:t>Podpora ochrany biologické rozmanitosti a ekosystémů</w:t>
      </w:r>
      <w:r w:rsidR="0049671A">
        <w:t xml:space="preserve">, </w:t>
      </w:r>
      <w:r w:rsidR="0049671A" w:rsidRPr="0049671A">
        <w:t>a to ve všech prostředích (suchozemská a mořská prostředí i sladkovodní systémy).</w:t>
      </w:r>
    </w:p>
    <w:p w:rsidR="009E3754" w:rsidRPr="0049671A" w:rsidRDefault="0049671A" w:rsidP="00E66ADA">
      <w:r w:rsidRPr="0049671A">
        <w:t xml:space="preserve"> Čeští uchazeči se ovšem musí zúčastnit takových projektů, jejichž výsledky budou uplatnitelné v podmínkách ČR (Tato uplatnitelnost bude kontrolována v průběhu kontroly způsobilosti)</w:t>
      </w:r>
      <w:r w:rsidR="00E66ADA">
        <w:t>.</w:t>
      </w:r>
    </w:p>
    <w:p w:rsidR="00E25555" w:rsidRPr="008735D5" w:rsidRDefault="00E25555" w:rsidP="009E3754"/>
    <w:p w:rsidR="0057770F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372D69">
        <w:rPr>
          <w:b/>
          <w:color w:val="1F4E79" w:themeColor="accent1" w:themeShade="80"/>
          <w:sz w:val="28"/>
          <w:szCs w:val="28"/>
        </w:rPr>
        <w:t>Uchazeči:</w:t>
      </w:r>
    </w:p>
    <w:p w:rsidR="0085030B" w:rsidRPr="0085030B" w:rsidRDefault="0085030B" w:rsidP="0057770F">
      <w:pPr>
        <w:rPr>
          <w:b/>
          <w:color w:val="1F4E79" w:themeColor="accent1" w:themeShade="80"/>
        </w:rPr>
      </w:pPr>
      <w:r w:rsidRPr="0085030B">
        <w:rPr>
          <w:b/>
          <w:color w:val="1F4E79" w:themeColor="accent1" w:themeShade="80"/>
        </w:rPr>
        <w:lastRenderedPageBreak/>
        <w:t>Hlavní uchazeči:</w:t>
      </w:r>
    </w:p>
    <w:p w:rsidR="00E25555" w:rsidRDefault="00BC5DC4" w:rsidP="00BC5DC4">
      <w:pPr>
        <w:pStyle w:val="Odstavecseseznamem"/>
        <w:numPr>
          <w:ilvl w:val="0"/>
          <w:numId w:val="16"/>
        </w:numPr>
      </w:pPr>
      <w:r w:rsidRPr="00372D69">
        <w:t>výzkumné organizace</w:t>
      </w:r>
      <w:r w:rsidR="00E25555">
        <w:t xml:space="preserve"> </w:t>
      </w:r>
    </w:p>
    <w:p w:rsidR="00474F9B" w:rsidRDefault="00474F9B" w:rsidP="00BC5DC4">
      <w:pPr>
        <w:pStyle w:val="Odstavecseseznamem"/>
        <w:numPr>
          <w:ilvl w:val="0"/>
          <w:numId w:val="16"/>
        </w:numPr>
      </w:pPr>
      <w:r w:rsidRPr="00372D69">
        <w:t>podniky</w:t>
      </w:r>
    </w:p>
    <w:p w:rsidR="0085030B" w:rsidRDefault="0085030B" w:rsidP="00BC5DC4">
      <w:pPr>
        <w:pStyle w:val="Odstavecseseznamem"/>
        <w:numPr>
          <w:ilvl w:val="0"/>
          <w:numId w:val="16"/>
        </w:numPr>
      </w:pPr>
      <w:r>
        <w:t>organizační složky státu</w:t>
      </w:r>
    </w:p>
    <w:p w:rsidR="001501C0" w:rsidRDefault="001501C0" w:rsidP="00E36A22">
      <w:pPr>
        <w:rPr>
          <w:b/>
          <w:color w:val="1F4E79" w:themeColor="accent1" w:themeShade="80"/>
          <w:sz w:val="28"/>
          <w:szCs w:val="28"/>
        </w:rPr>
      </w:pPr>
    </w:p>
    <w:p w:rsidR="00E36A22" w:rsidRPr="00E36A22" w:rsidRDefault="00E36A22" w:rsidP="00E36A22">
      <w:pPr>
        <w:rPr>
          <w:b/>
          <w:color w:val="1F4E79" w:themeColor="accent1" w:themeShade="80"/>
          <w:sz w:val="28"/>
          <w:szCs w:val="28"/>
        </w:rPr>
      </w:pPr>
      <w:r w:rsidRPr="00E36A22">
        <w:rPr>
          <w:b/>
          <w:color w:val="1F4E79" w:themeColor="accent1" w:themeShade="80"/>
          <w:sz w:val="28"/>
          <w:szCs w:val="28"/>
        </w:rPr>
        <w:t>Velikost projektového konsorcia:</w:t>
      </w:r>
    </w:p>
    <w:p w:rsidR="0085030B" w:rsidRPr="00E36A22" w:rsidRDefault="00E36A22" w:rsidP="00E36A22">
      <w:r w:rsidRPr="00E36A22">
        <w:t>Projekty mohou předkládat mezinárodní konsorcia složená minimálně ze tří způsobilých partnerů z nejméně tří zapojených zemí (z toho alespoň dvě členské nebo přidružené země EU) a musí být financovány přinejmenším třemi různými zúčastněnými poskytovateli.</w:t>
      </w:r>
    </w:p>
    <w:p w:rsidR="001501C0" w:rsidRDefault="001501C0" w:rsidP="0049637A">
      <w:pPr>
        <w:rPr>
          <w:b/>
          <w:color w:val="1F4E79" w:themeColor="accent1" w:themeShade="80"/>
          <w:sz w:val="28"/>
          <w:szCs w:val="28"/>
        </w:rPr>
      </w:pPr>
    </w:p>
    <w:p w:rsidR="0049637A" w:rsidRPr="00C714B4" w:rsidRDefault="0049637A" w:rsidP="0049637A">
      <w:pPr>
        <w:rPr>
          <w:b/>
          <w:color w:val="1F4E79" w:themeColor="accent1" w:themeShade="80"/>
          <w:sz w:val="28"/>
          <w:szCs w:val="28"/>
        </w:rPr>
      </w:pPr>
      <w:r w:rsidRPr="00C714B4">
        <w:rPr>
          <w:b/>
          <w:color w:val="1F4E79" w:themeColor="accent1" w:themeShade="80"/>
          <w:sz w:val="28"/>
          <w:szCs w:val="28"/>
        </w:rPr>
        <w:t>Zapojené země:</w:t>
      </w:r>
    </w:p>
    <w:p w:rsidR="006F468F" w:rsidRDefault="004E7057" w:rsidP="002F6ADE">
      <w:r w:rsidRPr="004E7057">
        <w:t xml:space="preserve">Belgie (BELSPO, F.R.S-FNRS, FWO), Brazílie (CONFAP, </w:t>
      </w:r>
      <w:proofErr w:type="spellStart"/>
      <w:r w:rsidRPr="004E7057">
        <w:t>CNPq</w:t>
      </w:r>
      <w:proofErr w:type="spellEnd"/>
      <w:r w:rsidRPr="004E7057">
        <w:t>), Bulharsko (BNSF), Česko (TA ČR), Dánsko (IFD), Estonsko (</w:t>
      </w:r>
      <w:proofErr w:type="spellStart"/>
      <w:r w:rsidRPr="004E7057">
        <w:t>ETAg</w:t>
      </w:r>
      <w:proofErr w:type="spellEnd"/>
      <w:r w:rsidRPr="004E7057">
        <w:t xml:space="preserve">, </w:t>
      </w:r>
      <w:proofErr w:type="spellStart"/>
      <w:r w:rsidRPr="004E7057">
        <w:t>MoE_EE</w:t>
      </w:r>
      <w:proofErr w:type="spellEnd"/>
      <w:r w:rsidRPr="004E7057">
        <w:t xml:space="preserve">*, MEM), Finsko (AKA, </w:t>
      </w:r>
      <w:proofErr w:type="spellStart"/>
      <w:r w:rsidRPr="004E7057">
        <w:t>MoE_FI</w:t>
      </w:r>
      <w:proofErr w:type="spellEnd"/>
      <w:r w:rsidRPr="004E7057">
        <w:t>*), Francie (ANR), Irsko (EPA), Island (RANNIS), Itálie (MUR, PROV.BZ), Izrael (</w:t>
      </w:r>
      <w:proofErr w:type="spellStart"/>
      <w:r w:rsidRPr="004E7057">
        <w:t>MoEP</w:t>
      </w:r>
      <w:proofErr w:type="spellEnd"/>
      <w:r w:rsidRPr="004E7057">
        <w:t xml:space="preserve">), Jihoafrická republika (DSI), Litva (LMT), Lotyšsko (LSC, VIAA), Maďarsko (NKFIH), Maroko (MENFPESRS), Moldavsko (NARD), Německo (DFG, VDI/VDE-IT), Nizozemsko (NWO), Norsko (RCN), Polsko (NCN), Portugalsko (FCT, FRCT), Rakousko (FWF), Řecko (GSRI), Slovensko (SAS), Slovinsko (MIZS), Španělsko (AEI, FB), Švédsko (FORMAS), Švýcarsko (SNSF), </w:t>
      </w:r>
      <w:proofErr w:type="spellStart"/>
      <w:r w:rsidRPr="004E7057">
        <w:t>Taiwan</w:t>
      </w:r>
      <w:proofErr w:type="spellEnd"/>
      <w:r w:rsidRPr="004E7057">
        <w:t xml:space="preserve"> (MOST), Tunisko (MHESR) a Turecko (TAGEM, TÜBITAK)</w:t>
      </w:r>
    </w:p>
    <w:p w:rsidR="00C714B4" w:rsidRPr="00372D69" w:rsidRDefault="00C714B4" w:rsidP="002F6ADE">
      <w:pPr>
        <w:rPr>
          <w:highlight w:val="yellow"/>
        </w:rPr>
      </w:pPr>
    </w:p>
    <w:p w:rsidR="00421000" w:rsidRPr="00372D69" w:rsidRDefault="00421000" w:rsidP="008F2375">
      <w:pPr>
        <w:rPr>
          <w:b/>
          <w:color w:val="1F4E79" w:themeColor="accent1" w:themeShade="80"/>
          <w:sz w:val="28"/>
          <w:szCs w:val="28"/>
        </w:rPr>
      </w:pPr>
      <w:r w:rsidRPr="00372D69">
        <w:rPr>
          <w:b/>
          <w:color w:val="1F4E79" w:themeColor="accent1" w:themeShade="80"/>
          <w:sz w:val="28"/>
          <w:szCs w:val="28"/>
        </w:rPr>
        <w:t>Způsobilé náklady</w:t>
      </w:r>
      <w:r w:rsidR="00A24015" w:rsidRPr="00372D69">
        <w:rPr>
          <w:b/>
          <w:color w:val="1F4E79" w:themeColor="accent1" w:themeShade="80"/>
          <w:sz w:val="28"/>
          <w:szCs w:val="28"/>
        </w:rPr>
        <w:t>:</w:t>
      </w:r>
      <w:r w:rsidRPr="00372D69">
        <w:rPr>
          <w:b/>
          <w:color w:val="1F4E79" w:themeColor="accent1" w:themeShade="80"/>
          <w:sz w:val="28"/>
          <w:szCs w:val="28"/>
        </w:rPr>
        <w:t xml:space="preserve">  </w:t>
      </w:r>
    </w:p>
    <w:p w:rsidR="00421000" w:rsidRPr="00372D69" w:rsidRDefault="00421000" w:rsidP="00832490">
      <w:pPr>
        <w:pStyle w:val="Default"/>
        <w:numPr>
          <w:ilvl w:val="0"/>
          <w:numId w:val="34"/>
        </w:numPr>
        <w:spacing w:after="178" w:line="140" w:lineRule="atLeast"/>
        <w:ind w:left="714" w:hanging="357"/>
        <w:rPr>
          <w:sz w:val="22"/>
          <w:szCs w:val="22"/>
        </w:rPr>
      </w:pPr>
      <w:r w:rsidRPr="00372D69">
        <w:rPr>
          <w:sz w:val="22"/>
          <w:szCs w:val="22"/>
        </w:rPr>
        <w:t>osobní ná</w:t>
      </w:r>
      <w:r w:rsidR="00A24015" w:rsidRPr="00372D69">
        <w:rPr>
          <w:sz w:val="22"/>
          <w:szCs w:val="22"/>
        </w:rPr>
        <w:t>klady</w:t>
      </w:r>
      <w:r w:rsidR="0085030B">
        <w:rPr>
          <w:sz w:val="22"/>
          <w:szCs w:val="22"/>
        </w:rPr>
        <w:t>;</w:t>
      </w:r>
    </w:p>
    <w:p w:rsidR="00421000" w:rsidRPr="00372D69" w:rsidRDefault="00421000" w:rsidP="00832490">
      <w:pPr>
        <w:pStyle w:val="Default"/>
        <w:numPr>
          <w:ilvl w:val="0"/>
          <w:numId w:val="34"/>
        </w:numPr>
        <w:spacing w:after="178" w:line="140" w:lineRule="atLeast"/>
        <w:ind w:left="714" w:hanging="357"/>
        <w:rPr>
          <w:sz w:val="22"/>
          <w:szCs w:val="22"/>
        </w:rPr>
      </w:pPr>
      <w:r w:rsidRPr="00372D69">
        <w:rPr>
          <w:sz w:val="22"/>
          <w:szCs w:val="22"/>
        </w:rPr>
        <w:t>náklady na subdodávky</w:t>
      </w:r>
      <w:r w:rsidR="00734728" w:rsidRPr="00372D69">
        <w:rPr>
          <w:sz w:val="22"/>
          <w:szCs w:val="22"/>
        </w:rPr>
        <w:t xml:space="preserve"> (max. 20% - jedná se o výzkumné subdodávky)</w:t>
      </w:r>
      <w:r w:rsidRPr="00372D69">
        <w:rPr>
          <w:sz w:val="22"/>
          <w:szCs w:val="22"/>
        </w:rPr>
        <w:t xml:space="preserve">; </w:t>
      </w:r>
    </w:p>
    <w:p w:rsidR="00421000" w:rsidRPr="00372D69" w:rsidRDefault="00421000" w:rsidP="00832490">
      <w:pPr>
        <w:pStyle w:val="Default"/>
        <w:numPr>
          <w:ilvl w:val="0"/>
          <w:numId w:val="34"/>
        </w:numPr>
        <w:spacing w:after="178" w:line="140" w:lineRule="atLeast"/>
        <w:ind w:left="714" w:hanging="357"/>
        <w:rPr>
          <w:sz w:val="22"/>
          <w:szCs w:val="22"/>
        </w:rPr>
      </w:pPr>
      <w:r w:rsidRPr="00372D69">
        <w:rPr>
          <w:sz w:val="22"/>
          <w:szCs w:val="22"/>
        </w:rPr>
        <w:t xml:space="preserve">ostatní přímé náklady; </w:t>
      </w:r>
    </w:p>
    <w:p w:rsidR="00F36C80" w:rsidRPr="00372D69" w:rsidRDefault="00421000" w:rsidP="00832490">
      <w:pPr>
        <w:pStyle w:val="Default"/>
        <w:numPr>
          <w:ilvl w:val="0"/>
          <w:numId w:val="34"/>
        </w:numPr>
        <w:spacing w:after="178" w:line="140" w:lineRule="atLeast"/>
        <w:ind w:left="714" w:hanging="357"/>
        <w:rPr>
          <w:sz w:val="22"/>
          <w:szCs w:val="22"/>
        </w:rPr>
      </w:pPr>
      <w:r w:rsidRPr="00372D69">
        <w:rPr>
          <w:sz w:val="22"/>
          <w:szCs w:val="22"/>
        </w:rPr>
        <w:t>nepřímé náklady</w:t>
      </w:r>
      <w:r w:rsidR="00F36C80" w:rsidRPr="00372D69">
        <w:rPr>
          <w:sz w:val="22"/>
          <w:szCs w:val="22"/>
        </w:rPr>
        <w:t>;</w:t>
      </w:r>
    </w:p>
    <w:p w:rsidR="00F36C80" w:rsidRPr="00372D69" w:rsidRDefault="00F36C80" w:rsidP="00832490">
      <w:pPr>
        <w:pStyle w:val="Default"/>
        <w:numPr>
          <w:ilvl w:val="0"/>
          <w:numId w:val="34"/>
        </w:numPr>
        <w:spacing w:after="178" w:line="140" w:lineRule="atLeast"/>
        <w:ind w:left="714" w:hanging="357"/>
        <w:rPr>
          <w:sz w:val="22"/>
          <w:szCs w:val="22"/>
        </w:rPr>
      </w:pPr>
      <w:r w:rsidRPr="00372D69">
        <w:rPr>
          <w:sz w:val="22"/>
          <w:szCs w:val="22"/>
        </w:rPr>
        <w:t xml:space="preserve">stipendia </w:t>
      </w:r>
      <w:r w:rsidRPr="00372D69">
        <w:rPr>
          <w:b/>
          <w:sz w:val="22"/>
          <w:szCs w:val="22"/>
        </w:rPr>
        <w:t>(na VUT není tento náklad doporučován!)</w:t>
      </w:r>
    </w:p>
    <w:p w:rsidR="00894BEB" w:rsidRDefault="00210CA9" w:rsidP="0057770F">
      <w:r w:rsidRPr="00372D69">
        <w:rPr>
          <w:b/>
        </w:rPr>
        <w:t xml:space="preserve">Nepřímé náklady: </w:t>
      </w:r>
      <w:proofErr w:type="spellStart"/>
      <w:r w:rsidRPr="00372D69">
        <w:t>Flate</w:t>
      </w:r>
      <w:proofErr w:type="spellEnd"/>
      <w:r w:rsidRPr="00372D69">
        <w:t xml:space="preserve"> </w:t>
      </w:r>
      <w:proofErr w:type="spellStart"/>
      <w:r w:rsidRPr="00372D69">
        <w:t>rate</w:t>
      </w:r>
      <w:proofErr w:type="spellEnd"/>
      <w:r w:rsidRPr="00372D69">
        <w:t xml:space="preserve"> </w:t>
      </w:r>
      <w:r w:rsidR="003B2398" w:rsidRPr="00372D69">
        <w:t>25</w:t>
      </w:r>
      <w:r w:rsidR="00C2215E" w:rsidRPr="00372D69">
        <w:t xml:space="preserve">% </w:t>
      </w:r>
      <w:r w:rsidR="00942569" w:rsidRPr="00372D69">
        <w:t xml:space="preserve">z osobních nákladů a ostatních přímých nákladů, </w:t>
      </w:r>
      <w:r w:rsidRPr="00372D69">
        <w:t xml:space="preserve">nebo Full </w:t>
      </w:r>
      <w:proofErr w:type="spellStart"/>
      <w:r w:rsidRPr="00372D69">
        <w:t>cost</w:t>
      </w:r>
      <w:proofErr w:type="spellEnd"/>
    </w:p>
    <w:p w:rsidR="0085030B" w:rsidRPr="00372D69" w:rsidRDefault="0085030B" w:rsidP="0057770F">
      <w:pPr>
        <w:rPr>
          <w:b/>
        </w:rPr>
      </w:pPr>
      <w:r>
        <w:t xml:space="preserve">Min. 51% vynaložených nákladů českého partnera musí být určeno na výzkum ve veřejném zájmu (tj. na </w:t>
      </w:r>
      <w:proofErr w:type="spellStart"/>
      <w:r>
        <w:t>nekomercializovatelné</w:t>
      </w:r>
      <w:proofErr w:type="spellEnd"/>
      <w:r>
        <w:t xml:space="preserve"> výsledky). Deklarace nákladů zaměřených na aktivity ve veřejném zájmu bude součástí TA CR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Form</w:t>
      </w:r>
      <w:proofErr w:type="spellEnd"/>
      <w:r>
        <w:t>.</w:t>
      </w:r>
    </w:p>
    <w:p w:rsidR="00E63B3F" w:rsidRPr="0058002C" w:rsidRDefault="00E63B3F" w:rsidP="0057770F">
      <w:pPr>
        <w:rPr>
          <w:b/>
        </w:rPr>
      </w:pPr>
    </w:p>
    <w:p w:rsidR="00E63B3F" w:rsidRPr="00C27241" w:rsidRDefault="00E63B3F" w:rsidP="00E63B3F">
      <w:pPr>
        <w:rPr>
          <w:b/>
          <w:color w:val="1F4E79" w:themeColor="accent1" w:themeShade="80"/>
          <w:sz w:val="28"/>
          <w:szCs w:val="28"/>
        </w:rPr>
      </w:pPr>
      <w:r w:rsidRPr="00C27241">
        <w:rPr>
          <w:b/>
          <w:color w:val="1F4E79" w:themeColor="accent1" w:themeShade="80"/>
          <w:sz w:val="28"/>
          <w:szCs w:val="28"/>
        </w:rPr>
        <w:t xml:space="preserve">Očekávané hlavní výstupy/výsledky: </w:t>
      </w:r>
    </w:p>
    <w:p w:rsidR="0062316E" w:rsidRPr="00C27241" w:rsidRDefault="0062316E" w:rsidP="0062316E">
      <w:r w:rsidRPr="00C27241">
        <w:rPr>
          <w:b/>
        </w:rPr>
        <w:t xml:space="preserve">P </w:t>
      </w:r>
      <w:r w:rsidRPr="00C27241">
        <w:t>– patent;</w:t>
      </w:r>
    </w:p>
    <w:p w:rsidR="0062316E" w:rsidRPr="00C27241" w:rsidRDefault="0062316E" w:rsidP="0062316E">
      <w:pPr>
        <w:rPr>
          <w:b/>
        </w:rPr>
      </w:pPr>
      <w:r w:rsidRPr="00C27241">
        <w:rPr>
          <w:b/>
        </w:rPr>
        <w:t xml:space="preserve">G </w:t>
      </w:r>
      <w:r w:rsidRPr="00C27241">
        <w:t>– technicky realizované výsledky – prototyp, funkční vzorek</w:t>
      </w:r>
      <w:r w:rsidRPr="00C27241">
        <w:rPr>
          <w:b/>
        </w:rPr>
        <w:t>;</w:t>
      </w:r>
    </w:p>
    <w:p w:rsidR="0062316E" w:rsidRDefault="0062316E" w:rsidP="0062316E">
      <w:r w:rsidRPr="00C27241">
        <w:rPr>
          <w:b/>
        </w:rPr>
        <w:t xml:space="preserve">R </w:t>
      </w:r>
      <w:r w:rsidRPr="00C27241">
        <w:t>– software;</w:t>
      </w:r>
    </w:p>
    <w:p w:rsidR="00D27AA9" w:rsidRDefault="0085030B" w:rsidP="0062316E">
      <w:proofErr w:type="spellStart"/>
      <w:r w:rsidRPr="0085030B">
        <w:rPr>
          <w:b/>
        </w:rPr>
        <w:lastRenderedPageBreak/>
        <w:t>NmetS</w:t>
      </w:r>
      <w:proofErr w:type="spellEnd"/>
      <w:r w:rsidRPr="0085030B">
        <w:rPr>
          <w:b/>
        </w:rPr>
        <w:t xml:space="preserve">, </w:t>
      </w:r>
      <w:proofErr w:type="spellStart"/>
      <w:r w:rsidRPr="0085030B">
        <w:rPr>
          <w:b/>
        </w:rPr>
        <w:t>NmetC</w:t>
      </w:r>
      <w:proofErr w:type="spellEnd"/>
      <w:r w:rsidRPr="0085030B">
        <w:rPr>
          <w:b/>
        </w:rPr>
        <w:t xml:space="preserve">, </w:t>
      </w:r>
      <w:proofErr w:type="spellStart"/>
      <w:r w:rsidRPr="0085030B">
        <w:rPr>
          <w:b/>
        </w:rPr>
        <w:t>NmetA</w:t>
      </w:r>
      <w:proofErr w:type="spellEnd"/>
      <w:r>
        <w:t xml:space="preserve"> – metodika;</w:t>
      </w:r>
    </w:p>
    <w:p w:rsidR="0085030B" w:rsidRDefault="0085030B" w:rsidP="0062316E">
      <w:proofErr w:type="spellStart"/>
      <w:r w:rsidRPr="0085030B">
        <w:rPr>
          <w:b/>
        </w:rPr>
        <w:t>Nmap</w:t>
      </w:r>
      <w:proofErr w:type="spellEnd"/>
      <w:r w:rsidRPr="0085030B">
        <w:rPr>
          <w:b/>
        </w:rPr>
        <w:t xml:space="preserve"> </w:t>
      </w:r>
      <w:r>
        <w:t>– specializovaná mapa s odborným obsahem;</w:t>
      </w:r>
    </w:p>
    <w:p w:rsidR="0085030B" w:rsidRDefault="0085030B" w:rsidP="0062316E">
      <w:proofErr w:type="spellStart"/>
      <w:r w:rsidRPr="0085030B">
        <w:rPr>
          <w:b/>
        </w:rPr>
        <w:t>Hneleg</w:t>
      </w:r>
      <w:proofErr w:type="spellEnd"/>
      <w:r>
        <w:t xml:space="preserve"> – výsledky promítnuté do směrnic a předpisů nelegislativní povahy závazných v rámci kompetence MŽP;</w:t>
      </w:r>
    </w:p>
    <w:p w:rsidR="0085030B" w:rsidRDefault="0085030B" w:rsidP="0062316E">
      <w:proofErr w:type="spellStart"/>
      <w:r w:rsidRPr="0085030B">
        <w:rPr>
          <w:b/>
        </w:rPr>
        <w:t>Vsouhrn</w:t>
      </w:r>
      <w:proofErr w:type="spellEnd"/>
      <w:r>
        <w:t xml:space="preserve"> – výzkumná zpráva;</w:t>
      </w:r>
    </w:p>
    <w:p w:rsidR="0085030B" w:rsidRDefault="0085030B" w:rsidP="0062316E">
      <w:proofErr w:type="spellStart"/>
      <w:r w:rsidRPr="0085030B">
        <w:rPr>
          <w:b/>
        </w:rPr>
        <w:t>Zpolop</w:t>
      </w:r>
      <w:proofErr w:type="spellEnd"/>
      <w:r w:rsidRPr="0085030B">
        <w:rPr>
          <w:b/>
        </w:rPr>
        <w:t xml:space="preserve">, </w:t>
      </w:r>
      <w:proofErr w:type="spellStart"/>
      <w:r w:rsidRPr="0085030B">
        <w:rPr>
          <w:b/>
        </w:rPr>
        <w:t>Ztech</w:t>
      </w:r>
      <w:proofErr w:type="spellEnd"/>
      <w:r>
        <w:t xml:space="preserve"> - </w:t>
      </w:r>
      <w:r w:rsidRPr="00C27241">
        <w:t>poloprovoz, ověřená technologie;</w:t>
      </w:r>
    </w:p>
    <w:p w:rsidR="0085030B" w:rsidRDefault="0085030B" w:rsidP="0062316E">
      <w:r w:rsidRPr="0085030B">
        <w:rPr>
          <w:b/>
        </w:rPr>
        <w:t>S</w:t>
      </w:r>
      <w:r>
        <w:t xml:space="preserve"> – specializovaná veřejná databáze;</w:t>
      </w:r>
    </w:p>
    <w:p w:rsidR="0085030B" w:rsidRDefault="0085030B" w:rsidP="0062316E">
      <w:proofErr w:type="spellStart"/>
      <w:r w:rsidRPr="0085030B">
        <w:rPr>
          <w:b/>
        </w:rPr>
        <w:t>Jimp</w:t>
      </w:r>
      <w:proofErr w:type="spellEnd"/>
      <w:r w:rsidRPr="0085030B">
        <w:rPr>
          <w:b/>
        </w:rPr>
        <w:t xml:space="preserve">, JSC, </w:t>
      </w:r>
      <w:proofErr w:type="spellStart"/>
      <w:r w:rsidRPr="0085030B">
        <w:rPr>
          <w:b/>
        </w:rPr>
        <w:t>Jost</w:t>
      </w:r>
      <w:proofErr w:type="spellEnd"/>
      <w:r>
        <w:t xml:space="preserve"> – recenzovaný odborný článek;</w:t>
      </w:r>
    </w:p>
    <w:p w:rsidR="0085030B" w:rsidRDefault="0085030B" w:rsidP="0062316E">
      <w:r w:rsidRPr="0085030B">
        <w:rPr>
          <w:b/>
        </w:rPr>
        <w:t>B</w:t>
      </w:r>
      <w:r>
        <w:t xml:space="preserve"> – odborná kniha;</w:t>
      </w:r>
    </w:p>
    <w:p w:rsidR="0085030B" w:rsidRPr="00C27241" w:rsidRDefault="0085030B" w:rsidP="0062316E">
      <w:r w:rsidRPr="0085030B">
        <w:rPr>
          <w:b/>
        </w:rPr>
        <w:t>C</w:t>
      </w:r>
      <w:r>
        <w:t xml:space="preserve"> - kapitola v odborné knize;</w:t>
      </w:r>
    </w:p>
    <w:p w:rsidR="0062316E" w:rsidRDefault="0085030B" w:rsidP="0062316E">
      <w:proofErr w:type="spellStart"/>
      <w:r w:rsidRPr="0085030B">
        <w:rPr>
          <w:b/>
        </w:rPr>
        <w:t>Ekrit</w:t>
      </w:r>
      <w:proofErr w:type="spellEnd"/>
      <w:r>
        <w:t xml:space="preserve"> – uspořádání výstavy s kritickým katalogem;</w:t>
      </w:r>
    </w:p>
    <w:p w:rsidR="0085030B" w:rsidRPr="00C27241" w:rsidRDefault="0085030B" w:rsidP="0062316E">
      <w:pPr>
        <w:rPr>
          <w:b/>
        </w:rPr>
      </w:pPr>
      <w:r>
        <w:rPr>
          <w:b/>
        </w:rPr>
        <w:t xml:space="preserve">M – </w:t>
      </w:r>
      <w:r w:rsidRPr="0085030B">
        <w:t>uspořádání konference;</w:t>
      </w:r>
    </w:p>
    <w:p w:rsidR="00C545CA" w:rsidRDefault="0062316E" w:rsidP="0062316E">
      <w:r w:rsidRPr="00C27241">
        <w:rPr>
          <w:b/>
        </w:rPr>
        <w:t xml:space="preserve">O </w:t>
      </w:r>
      <w:r w:rsidRPr="00C27241">
        <w:t>– ostatní výsledky.</w:t>
      </w:r>
    </w:p>
    <w:p w:rsidR="0062316E" w:rsidRPr="00372D69" w:rsidRDefault="0062316E" w:rsidP="0057770F">
      <w:pPr>
        <w:rPr>
          <w:b/>
          <w:color w:val="1F4E79" w:themeColor="accent1" w:themeShade="80"/>
          <w:sz w:val="28"/>
          <w:szCs w:val="28"/>
          <w:highlight w:val="yellow"/>
        </w:rPr>
      </w:pPr>
    </w:p>
    <w:p w:rsidR="003206E0" w:rsidRDefault="003206E0" w:rsidP="0057770F">
      <w:pPr>
        <w:rPr>
          <w:b/>
          <w:color w:val="1F4E79" w:themeColor="accent1" w:themeShade="80"/>
          <w:sz w:val="28"/>
          <w:szCs w:val="28"/>
        </w:rPr>
      </w:pPr>
      <w:r w:rsidRPr="00372D69">
        <w:rPr>
          <w:b/>
          <w:color w:val="1F4E79" w:themeColor="accent1" w:themeShade="80"/>
          <w:sz w:val="28"/>
          <w:szCs w:val="28"/>
        </w:rPr>
        <w:t>Povinné přílohy:</w:t>
      </w:r>
    </w:p>
    <w:p w:rsidR="00D27AA9" w:rsidRPr="00D27AA9" w:rsidRDefault="00D27AA9" w:rsidP="00D27AA9">
      <w:pPr>
        <w:pStyle w:val="Odstavecseseznamem"/>
        <w:numPr>
          <w:ilvl w:val="0"/>
          <w:numId w:val="43"/>
        </w:numPr>
      </w:pPr>
      <w:r w:rsidRPr="00D27AA9">
        <w:t>TA</w:t>
      </w:r>
      <w:r>
        <w:t>Č</w:t>
      </w:r>
      <w:r w:rsidRPr="00D27AA9">
        <w:t xml:space="preserve">R </w:t>
      </w:r>
      <w:proofErr w:type="spellStart"/>
      <w:r w:rsidRPr="00D27AA9">
        <w:t>Application</w:t>
      </w:r>
      <w:proofErr w:type="spellEnd"/>
      <w:r w:rsidRPr="00D27AA9">
        <w:t xml:space="preserve"> </w:t>
      </w:r>
      <w:proofErr w:type="spellStart"/>
      <w:r w:rsidRPr="00D27AA9">
        <w:t>Form</w:t>
      </w:r>
      <w:proofErr w:type="spellEnd"/>
      <w:r w:rsidRPr="00D27AA9">
        <w:t xml:space="preserve"> (rozpočet</w:t>
      </w:r>
      <w:r>
        <w:t xml:space="preserve"> </w:t>
      </w:r>
      <w:r w:rsidRPr="00D27AA9">
        <w:t>českého uchazeče + další podmínky</w:t>
      </w:r>
      <w:r>
        <w:t xml:space="preserve"> </w:t>
      </w:r>
      <w:r w:rsidRPr="00D27AA9">
        <w:t>NPOV,CEP aj.)</w:t>
      </w:r>
    </w:p>
    <w:p w:rsidR="00D27AA9" w:rsidRPr="00D27AA9" w:rsidRDefault="00D27AA9" w:rsidP="00D27AA9">
      <w:pPr>
        <w:pStyle w:val="Odstavecseseznamem"/>
        <w:numPr>
          <w:ilvl w:val="0"/>
          <w:numId w:val="43"/>
        </w:numPr>
      </w:pPr>
      <w:r w:rsidRPr="00D27AA9">
        <w:t>Čestné prohlášení (</w:t>
      </w:r>
      <w:proofErr w:type="spellStart"/>
      <w:r w:rsidRPr="00D27AA9">
        <w:t>Sworn</w:t>
      </w:r>
      <w:proofErr w:type="spellEnd"/>
      <w:r w:rsidRPr="00D27AA9">
        <w:t xml:space="preserve"> </w:t>
      </w:r>
      <w:proofErr w:type="spellStart"/>
      <w:r w:rsidRPr="00D27AA9">
        <w:t>Statement</w:t>
      </w:r>
      <w:proofErr w:type="spellEnd"/>
      <w:r w:rsidRPr="00D27AA9">
        <w:t>)</w:t>
      </w:r>
    </w:p>
    <w:p w:rsidR="00D27AA9" w:rsidRPr="00D27AA9" w:rsidRDefault="00D27AA9" w:rsidP="00D27AA9">
      <w:pPr>
        <w:pStyle w:val="Odstavecseseznamem"/>
        <w:numPr>
          <w:ilvl w:val="0"/>
          <w:numId w:val="43"/>
        </w:numPr>
      </w:pPr>
      <w:r w:rsidRPr="00D27AA9">
        <w:t xml:space="preserve">pokud výsledek typu </w:t>
      </w:r>
      <w:proofErr w:type="spellStart"/>
      <w:r w:rsidRPr="00D27AA9">
        <w:t>NmetS</w:t>
      </w:r>
      <w:proofErr w:type="spellEnd"/>
      <w:r w:rsidRPr="00D27AA9">
        <w:t xml:space="preserve"> </w:t>
      </w:r>
      <w:r>
        <w:t>–</w:t>
      </w:r>
      <w:r w:rsidRPr="00D27AA9">
        <w:t xml:space="preserve"> povinné</w:t>
      </w:r>
      <w:r>
        <w:t xml:space="preserve"> </w:t>
      </w:r>
      <w:r w:rsidRPr="00D27AA9">
        <w:t>doložení potvrzení certifikačního orgánu</w:t>
      </w:r>
    </w:p>
    <w:p w:rsidR="00D27AA9" w:rsidRPr="00D27AA9" w:rsidRDefault="00D27AA9" w:rsidP="00D27AA9">
      <w:pPr>
        <w:pStyle w:val="Odstavecseseznamem"/>
        <w:numPr>
          <w:ilvl w:val="0"/>
          <w:numId w:val="43"/>
        </w:numPr>
      </w:pPr>
      <w:r w:rsidRPr="00D27AA9">
        <w:t>pokud výsledek typu Patent - povinné</w:t>
      </w:r>
    </w:p>
    <w:p w:rsidR="00D27AA9" w:rsidRPr="00D27AA9" w:rsidRDefault="00D27AA9" w:rsidP="00D27AA9">
      <w:pPr>
        <w:pStyle w:val="Odstavecseseznamem"/>
        <w:numPr>
          <w:ilvl w:val="0"/>
          <w:numId w:val="43"/>
        </w:numPr>
      </w:pPr>
      <w:r w:rsidRPr="00D27AA9">
        <w:t>doložení patentové rešerše</w:t>
      </w:r>
    </w:p>
    <w:p w:rsidR="00D27AA9" w:rsidRPr="00D27AA9" w:rsidRDefault="00D27AA9" w:rsidP="00D27AA9">
      <w:pPr>
        <w:pStyle w:val="Odstavecseseznamem"/>
        <w:numPr>
          <w:ilvl w:val="0"/>
          <w:numId w:val="43"/>
        </w:numPr>
      </w:pPr>
      <w:r w:rsidRPr="00D27AA9">
        <w:t>Čestné prohlášení o složení konsorcia</w:t>
      </w:r>
      <w:r>
        <w:t xml:space="preserve"> </w:t>
      </w:r>
      <w:r w:rsidRPr="00D27AA9">
        <w:t>(pouze hlavní uchazeč, pokud je</w:t>
      </w:r>
      <w:r>
        <w:t xml:space="preserve"> v konsorciu podnik)</w:t>
      </w:r>
    </w:p>
    <w:p w:rsidR="00D27AA9" w:rsidRDefault="00D27AA9" w:rsidP="00D27AA9">
      <w:pPr>
        <w:pStyle w:val="Odstavecseseznamem"/>
        <w:numPr>
          <w:ilvl w:val="0"/>
          <w:numId w:val="43"/>
        </w:numPr>
      </w:pPr>
      <w:r w:rsidRPr="00D27AA9">
        <w:t>Výpis z evidence skutečných majitelů</w:t>
      </w:r>
      <w:r>
        <w:t xml:space="preserve"> </w:t>
      </w:r>
      <w:r w:rsidRPr="00D27AA9">
        <w:t>(platí pro všechny uchazeče, vyjma těch,</w:t>
      </w:r>
      <w:r>
        <w:t xml:space="preserve"> </w:t>
      </w:r>
      <w:r w:rsidRPr="00D27AA9">
        <w:t>kteří nemají skutečného majitele)</w:t>
      </w:r>
      <w:r w:rsidRPr="00D27AA9">
        <w:cr/>
      </w:r>
    </w:p>
    <w:p w:rsidR="00D27AA9" w:rsidRDefault="00D27AA9" w:rsidP="00D27AA9">
      <w:pPr>
        <w:rPr>
          <w:i/>
        </w:rPr>
      </w:pPr>
      <w:r w:rsidRPr="00D27AA9">
        <w:rPr>
          <w:i/>
        </w:rPr>
        <w:t>Dokumenty k prokázání způsobilosti musí být zaslány prostřednictvím datové schránky do termínu pro příjem návrhů projektů (</w:t>
      </w:r>
      <w:proofErr w:type="spellStart"/>
      <w:r w:rsidRPr="00D27AA9">
        <w:rPr>
          <w:i/>
        </w:rPr>
        <w:t>pre-proposals</w:t>
      </w:r>
      <w:proofErr w:type="spellEnd"/>
      <w:r w:rsidRPr="00D27AA9">
        <w:rPr>
          <w:i/>
        </w:rPr>
        <w:t xml:space="preserve">/full </w:t>
      </w:r>
      <w:proofErr w:type="spellStart"/>
      <w:r w:rsidRPr="00D27AA9">
        <w:rPr>
          <w:i/>
        </w:rPr>
        <w:t>proposals</w:t>
      </w:r>
      <w:proofErr w:type="spellEnd"/>
      <w:r w:rsidRPr="00D27AA9">
        <w:rPr>
          <w:i/>
        </w:rPr>
        <w:t xml:space="preserve">) na mezinárodní úrovni. Povinné přílohy k výstupům/výsledkům a TA CR </w:t>
      </w:r>
      <w:proofErr w:type="spellStart"/>
      <w:r w:rsidRPr="00D27AA9">
        <w:rPr>
          <w:i/>
        </w:rPr>
        <w:t>Application</w:t>
      </w:r>
      <w:proofErr w:type="spellEnd"/>
      <w:r w:rsidRPr="00D27AA9">
        <w:rPr>
          <w:i/>
        </w:rPr>
        <w:t xml:space="preserve"> </w:t>
      </w:r>
      <w:proofErr w:type="spellStart"/>
      <w:r w:rsidRPr="00D27AA9">
        <w:rPr>
          <w:i/>
        </w:rPr>
        <w:t>Form</w:t>
      </w:r>
      <w:proofErr w:type="spellEnd"/>
      <w:r w:rsidRPr="00D27AA9">
        <w:rPr>
          <w:i/>
        </w:rPr>
        <w:t xml:space="preserve"> musí být zaslány do stanoveného termínu a nebudou dodatečně </w:t>
      </w:r>
      <w:proofErr w:type="spellStart"/>
      <w:r w:rsidRPr="00D27AA9">
        <w:rPr>
          <w:i/>
        </w:rPr>
        <w:t>dožádávány</w:t>
      </w:r>
      <w:proofErr w:type="spellEnd"/>
      <w:r w:rsidRPr="00D27AA9">
        <w:rPr>
          <w:i/>
        </w:rPr>
        <w:t>.</w:t>
      </w:r>
    </w:p>
    <w:p w:rsidR="00D27AA9" w:rsidRPr="00D27AA9" w:rsidRDefault="00D27AA9" w:rsidP="00D27AA9">
      <w:pPr>
        <w:rPr>
          <w:i/>
        </w:rPr>
      </w:pPr>
    </w:p>
    <w:p w:rsidR="003206E0" w:rsidRPr="00C27241" w:rsidRDefault="00734728" w:rsidP="00D27AA9">
      <w:pPr>
        <w:rPr>
          <w:b/>
          <w:color w:val="1F4E79" w:themeColor="accent1" w:themeShade="80"/>
          <w:sz w:val="28"/>
          <w:szCs w:val="28"/>
        </w:rPr>
      </w:pPr>
      <w:r w:rsidRPr="00C27241">
        <w:rPr>
          <w:b/>
          <w:color w:val="1F4E79" w:themeColor="accent1" w:themeShade="80"/>
          <w:sz w:val="28"/>
          <w:szCs w:val="28"/>
        </w:rPr>
        <w:t>Priority</w:t>
      </w:r>
      <w:r w:rsidR="003206E0" w:rsidRPr="00C27241">
        <w:rPr>
          <w:b/>
          <w:color w:val="1F4E79" w:themeColor="accent1" w:themeShade="80"/>
          <w:sz w:val="28"/>
          <w:szCs w:val="28"/>
        </w:rPr>
        <w:t>:</w:t>
      </w:r>
    </w:p>
    <w:p w:rsidR="00D27AA9" w:rsidRDefault="00D27AA9" w:rsidP="00C27241">
      <w:r w:rsidRPr="00D27AA9">
        <w:rPr>
          <w:b/>
        </w:rPr>
        <w:t>Prioritní výzkumné cíle</w:t>
      </w:r>
      <w:r>
        <w:t xml:space="preserve"> nejsou definovány</w:t>
      </w:r>
    </w:p>
    <w:p w:rsidR="007E06D4" w:rsidRDefault="00734728" w:rsidP="00C27241">
      <w:r w:rsidRPr="00D27AA9">
        <w:rPr>
          <w:b/>
        </w:rPr>
        <w:t>NPOV</w:t>
      </w:r>
      <w:r w:rsidR="00D27AA9" w:rsidRPr="00D27AA9">
        <w:rPr>
          <w:b/>
        </w:rPr>
        <w:t>:</w:t>
      </w:r>
      <w:r w:rsidR="00D27AA9">
        <w:t xml:space="preserve"> </w:t>
      </w:r>
      <w:r w:rsidRPr="00C27241">
        <w:t xml:space="preserve"> </w:t>
      </w:r>
      <w:r w:rsidR="00D27AA9">
        <w:t>Uchazeči si musí vybrat jeden hlavní cíl Národních priorit orientovaného výzkumu, experimentálního vývoje a inovací (NPOV) z prioritní oblasti č. 3 Prostředí pro kvalitní život a nejvýše dva vedlejší cíle NPOV ze všech prioritních oblastí, přičemž volba vedlejšího cíle NPOV není povinná.</w:t>
      </w:r>
      <w:r w:rsidR="007E06D4">
        <w:t xml:space="preserve"> </w:t>
      </w:r>
    </w:p>
    <w:p w:rsidR="00C545CA" w:rsidRPr="00D27AA9" w:rsidRDefault="00D27AA9" w:rsidP="009F66AE">
      <w:r w:rsidRPr="00D27AA9">
        <w:rPr>
          <w:b/>
        </w:rPr>
        <w:t>Obory CEP, FORD</w:t>
      </w:r>
      <w:r w:rsidRPr="00D27AA9">
        <w:t>: bez omezení</w:t>
      </w:r>
    </w:p>
    <w:sectPr w:rsidR="00C545CA" w:rsidRPr="00D27AA9" w:rsidSect="00E63B3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7EA5BD"/>
    <w:multiLevelType w:val="hybridMultilevel"/>
    <w:tmpl w:val="7AE16B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0F8C9B"/>
    <w:multiLevelType w:val="hybridMultilevel"/>
    <w:tmpl w:val="85A7A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1329D7"/>
    <w:multiLevelType w:val="hybridMultilevel"/>
    <w:tmpl w:val="4D3732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6500726"/>
    <w:multiLevelType w:val="hybridMultilevel"/>
    <w:tmpl w:val="0CA48B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15CE996"/>
    <w:multiLevelType w:val="hybridMultilevel"/>
    <w:tmpl w:val="01416C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4D7D9B"/>
    <w:multiLevelType w:val="hybridMultilevel"/>
    <w:tmpl w:val="0BC83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2B3F75"/>
    <w:multiLevelType w:val="hybridMultilevel"/>
    <w:tmpl w:val="7A908780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B470DF"/>
    <w:multiLevelType w:val="hybridMultilevel"/>
    <w:tmpl w:val="F41EA8E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57B60"/>
    <w:multiLevelType w:val="hybridMultilevel"/>
    <w:tmpl w:val="305C813E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91882"/>
    <w:multiLevelType w:val="hybridMultilevel"/>
    <w:tmpl w:val="C02AB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B07E9"/>
    <w:multiLevelType w:val="hybridMultilevel"/>
    <w:tmpl w:val="6E8C5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7636A"/>
    <w:multiLevelType w:val="hybridMultilevel"/>
    <w:tmpl w:val="54E08D28"/>
    <w:lvl w:ilvl="0" w:tplc="AE1AB2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6A6F4C"/>
    <w:multiLevelType w:val="hybridMultilevel"/>
    <w:tmpl w:val="1EF88F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A9C24D"/>
    <w:multiLevelType w:val="hybridMultilevel"/>
    <w:tmpl w:val="9FAA40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486635"/>
    <w:multiLevelType w:val="hybridMultilevel"/>
    <w:tmpl w:val="6B32C352"/>
    <w:lvl w:ilvl="0" w:tplc="B8C62A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07552"/>
    <w:multiLevelType w:val="hybridMultilevel"/>
    <w:tmpl w:val="4B928374"/>
    <w:lvl w:ilvl="0" w:tplc="AE1AB29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7F81899"/>
    <w:multiLevelType w:val="hybridMultilevel"/>
    <w:tmpl w:val="A29E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47B0D"/>
    <w:multiLevelType w:val="hybridMultilevel"/>
    <w:tmpl w:val="D86ADD7C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9563C"/>
    <w:multiLevelType w:val="hybridMultilevel"/>
    <w:tmpl w:val="EB4A2AD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85771"/>
    <w:multiLevelType w:val="hybridMultilevel"/>
    <w:tmpl w:val="EACE8158"/>
    <w:lvl w:ilvl="0" w:tplc="EAA2C5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3641C"/>
    <w:multiLevelType w:val="hybridMultilevel"/>
    <w:tmpl w:val="98BABDA4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86BF9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A6E26BE"/>
    <w:multiLevelType w:val="hybridMultilevel"/>
    <w:tmpl w:val="AEC688B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1AD11C">
      <w:start w:val="1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D6BA9"/>
    <w:multiLevelType w:val="hybridMultilevel"/>
    <w:tmpl w:val="95AC8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2E5135"/>
    <w:multiLevelType w:val="hybridMultilevel"/>
    <w:tmpl w:val="311E98F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78A5"/>
    <w:multiLevelType w:val="hybridMultilevel"/>
    <w:tmpl w:val="5104742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1675A"/>
    <w:multiLevelType w:val="hybridMultilevel"/>
    <w:tmpl w:val="687E0A00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338D9"/>
    <w:multiLevelType w:val="hybridMultilevel"/>
    <w:tmpl w:val="379E28D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BA0575"/>
    <w:multiLevelType w:val="hybridMultilevel"/>
    <w:tmpl w:val="A1F5C1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B3E19D8"/>
    <w:multiLevelType w:val="hybridMultilevel"/>
    <w:tmpl w:val="2CA8A55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666B5"/>
    <w:multiLevelType w:val="hybridMultilevel"/>
    <w:tmpl w:val="E108B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24E28"/>
    <w:multiLevelType w:val="hybridMultilevel"/>
    <w:tmpl w:val="3FA40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A0878"/>
    <w:multiLevelType w:val="hybridMultilevel"/>
    <w:tmpl w:val="0D3C0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17230"/>
    <w:multiLevelType w:val="hybridMultilevel"/>
    <w:tmpl w:val="8C02CE02"/>
    <w:lvl w:ilvl="0" w:tplc="AE1AB2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F03A86"/>
    <w:multiLevelType w:val="hybridMultilevel"/>
    <w:tmpl w:val="E4E01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126BD"/>
    <w:multiLevelType w:val="hybridMultilevel"/>
    <w:tmpl w:val="A330038A"/>
    <w:lvl w:ilvl="0" w:tplc="00000066">
      <w:start w:val="1"/>
      <w:numFmt w:val="bullet"/>
      <w:lvlText w:val="◦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63544"/>
    <w:multiLevelType w:val="hybridMultilevel"/>
    <w:tmpl w:val="B89A7E00"/>
    <w:lvl w:ilvl="0" w:tplc="B06C8D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D7A8A"/>
    <w:multiLevelType w:val="hybridMultilevel"/>
    <w:tmpl w:val="B04AA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42239"/>
    <w:multiLevelType w:val="hybridMultilevel"/>
    <w:tmpl w:val="3760E29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33"/>
  </w:num>
  <w:num w:numId="4">
    <w:abstractNumId w:val="15"/>
  </w:num>
  <w:num w:numId="5">
    <w:abstractNumId w:val="31"/>
  </w:num>
  <w:num w:numId="6">
    <w:abstractNumId w:val="2"/>
  </w:num>
  <w:num w:numId="7">
    <w:abstractNumId w:val="4"/>
  </w:num>
  <w:num w:numId="8">
    <w:abstractNumId w:val="13"/>
  </w:num>
  <w:num w:numId="9">
    <w:abstractNumId w:val="17"/>
  </w:num>
  <w:num w:numId="10">
    <w:abstractNumId w:val="3"/>
  </w:num>
  <w:num w:numId="11">
    <w:abstractNumId w:val="10"/>
  </w:num>
  <w:num w:numId="12">
    <w:abstractNumId w:val="21"/>
  </w:num>
  <w:num w:numId="13">
    <w:abstractNumId w:val="29"/>
  </w:num>
  <w:num w:numId="14">
    <w:abstractNumId w:val="8"/>
  </w:num>
  <w:num w:numId="15">
    <w:abstractNumId w:val="38"/>
  </w:num>
  <w:num w:numId="16">
    <w:abstractNumId w:val="27"/>
  </w:num>
  <w:num w:numId="17">
    <w:abstractNumId w:val="23"/>
  </w:num>
  <w:num w:numId="18">
    <w:abstractNumId w:val="40"/>
  </w:num>
  <w:num w:numId="19">
    <w:abstractNumId w:val="20"/>
  </w:num>
  <w:num w:numId="20">
    <w:abstractNumId w:val="14"/>
  </w:num>
  <w:num w:numId="21">
    <w:abstractNumId w:val="39"/>
  </w:num>
  <w:num w:numId="22">
    <w:abstractNumId w:val="12"/>
  </w:num>
  <w:num w:numId="23">
    <w:abstractNumId w:val="0"/>
  </w:num>
  <w:num w:numId="24">
    <w:abstractNumId w:val="1"/>
  </w:num>
  <w:num w:numId="25">
    <w:abstractNumId w:val="6"/>
  </w:num>
  <w:num w:numId="26">
    <w:abstractNumId w:val="28"/>
  </w:num>
  <w:num w:numId="27">
    <w:abstractNumId w:val="32"/>
  </w:num>
  <w:num w:numId="28">
    <w:abstractNumId w:val="22"/>
  </w:num>
  <w:num w:numId="29">
    <w:abstractNumId w:val="25"/>
  </w:num>
  <w:num w:numId="30">
    <w:abstractNumId w:val="37"/>
  </w:num>
  <w:num w:numId="31">
    <w:abstractNumId w:val="16"/>
  </w:num>
  <w:num w:numId="32">
    <w:abstractNumId w:val="11"/>
  </w:num>
  <w:num w:numId="33">
    <w:abstractNumId w:val="19"/>
  </w:num>
  <w:num w:numId="34">
    <w:abstractNumId w:val="7"/>
  </w:num>
  <w:num w:numId="35">
    <w:abstractNumId w:val="26"/>
  </w:num>
  <w:num w:numId="36">
    <w:abstractNumId w:val="35"/>
  </w:num>
  <w:num w:numId="37">
    <w:abstractNumId w:val="36"/>
  </w:num>
  <w:num w:numId="38">
    <w:abstractNumId w:val="5"/>
  </w:num>
  <w:num w:numId="39">
    <w:abstractNumId w:val="34"/>
  </w:num>
  <w:num w:numId="40">
    <w:abstractNumId w:val="30"/>
  </w:num>
  <w:num w:numId="41">
    <w:abstractNumId w:val="9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0F"/>
    <w:rsid w:val="00003606"/>
    <w:rsid w:val="00015B0B"/>
    <w:rsid w:val="0003296A"/>
    <w:rsid w:val="000446FC"/>
    <w:rsid w:val="000662D1"/>
    <w:rsid w:val="00091D91"/>
    <w:rsid w:val="00097BCB"/>
    <w:rsid w:val="000A264A"/>
    <w:rsid w:val="000A6C1B"/>
    <w:rsid w:val="000D771C"/>
    <w:rsid w:val="000E47F9"/>
    <w:rsid w:val="00145603"/>
    <w:rsid w:val="001501C0"/>
    <w:rsid w:val="00156DFD"/>
    <w:rsid w:val="00162A88"/>
    <w:rsid w:val="00191D07"/>
    <w:rsid w:val="001C37FB"/>
    <w:rsid w:val="001F36DD"/>
    <w:rsid w:val="0020633F"/>
    <w:rsid w:val="00210CA9"/>
    <w:rsid w:val="00240BAB"/>
    <w:rsid w:val="0024494D"/>
    <w:rsid w:val="0028247C"/>
    <w:rsid w:val="002F6ADE"/>
    <w:rsid w:val="003143FE"/>
    <w:rsid w:val="003206E0"/>
    <w:rsid w:val="00350D3D"/>
    <w:rsid w:val="00363AFE"/>
    <w:rsid w:val="003727B1"/>
    <w:rsid w:val="00372D69"/>
    <w:rsid w:val="003B2398"/>
    <w:rsid w:val="003D3F77"/>
    <w:rsid w:val="00421000"/>
    <w:rsid w:val="004411C6"/>
    <w:rsid w:val="00451E14"/>
    <w:rsid w:val="004631FB"/>
    <w:rsid w:val="00463A93"/>
    <w:rsid w:val="00474F9B"/>
    <w:rsid w:val="00481E77"/>
    <w:rsid w:val="00494A7C"/>
    <w:rsid w:val="0049637A"/>
    <w:rsid w:val="0049671A"/>
    <w:rsid w:val="004A1956"/>
    <w:rsid w:val="004E7057"/>
    <w:rsid w:val="00537186"/>
    <w:rsid w:val="0056152C"/>
    <w:rsid w:val="00563DF1"/>
    <w:rsid w:val="0057770F"/>
    <w:rsid w:val="0058002C"/>
    <w:rsid w:val="00595A63"/>
    <w:rsid w:val="005962B5"/>
    <w:rsid w:val="005C0527"/>
    <w:rsid w:val="005D14AA"/>
    <w:rsid w:val="005F34AF"/>
    <w:rsid w:val="00610F8F"/>
    <w:rsid w:val="0062316E"/>
    <w:rsid w:val="00682062"/>
    <w:rsid w:val="006A7E18"/>
    <w:rsid w:val="006B0020"/>
    <w:rsid w:val="006F468F"/>
    <w:rsid w:val="00734728"/>
    <w:rsid w:val="00777781"/>
    <w:rsid w:val="00780B52"/>
    <w:rsid w:val="007C2781"/>
    <w:rsid w:val="007D0697"/>
    <w:rsid w:val="007E06D4"/>
    <w:rsid w:val="007E3687"/>
    <w:rsid w:val="00832490"/>
    <w:rsid w:val="0085030B"/>
    <w:rsid w:val="008735D5"/>
    <w:rsid w:val="008747AC"/>
    <w:rsid w:val="00894BEB"/>
    <w:rsid w:val="008F2375"/>
    <w:rsid w:val="009020DF"/>
    <w:rsid w:val="009067D2"/>
    <w:rsid w:val="00933358"/>
    <w:rsid w:val="00942569"/>
    <w:rsid w:val="009E3754"/>
    <w:rsid w:val="009F66AE"/>
    <w:rsid w:val="00A24015"/>
    <w:rsid w:val="00A26BA0"/>
    <w:rsid w:val="00A5483D"/>
    <w:rsid w:val="00A65AED"/>
    <w:rsid w:val="00A70CA5"/>
    <w:rsid w:val="00A9023A"/>
    <w:rsid w:val="00AC448A"/>
    <w:rsid w:val="00AD48D4"/>
    <w:rsid w:val="00AF7C43"/>
    <w:rsid w:val="00B00F52"/>
    <w:rsid w:val="00B243F4"/>
    <w:rsid w:val="00B34DF4"/>
    <w:rsid w:val="00BA56D5"/>
    <w:rsid w:val="00BC5DC4"/>
    <w:rsid w:val="00BD7394"/>
    <w:rsid w:val="00C10D9F"/>
    <w:rsid w:val="00C10EA8"/>
    <w:rsid w:val="00C2215E"/>
    <w:rsid w:val="00C27241"/>
    <w:rsid w:val="00C43508"/>
    <w:rsid w:val="00C545CA"/>
    <w:rsid w:val="00C654CB"/>
    <w:rsid w:val="00C714B4"/>
    <w:rsid w:val="00C86BCA"/>
    <w:rsid w:val="00C86E99"/>
    <w:rsid w:val="00CA5DAC"/>
    <w:rsid w:val="00CD1210"/>
    <w:rsid w:val="00CD7938"/>
    <w:rsid w:val="00CE486E"/>
    <w:rsid w:val="00D2274A"/>
    <w:rsid w:val="00D27AA9"/>
    <w:rsid w:val="00D32D3A"/>
    <w:rsid w:val="00D3760E"/>
    <w:rsid w:val="00D66035"/>
    <w:rsid w:val="00DA541B"/>
    <w:rsid w:val="00DB7603"/>
    <w:rsid w:val="00DF3F46"/>
    <w:rsid w:val="00E11D70"/>
    <w:rsid w:val="00E13EC8"/>
    <w:rsid w:val="00E25555"/>
    <w:rsid w:val="00E30C7E"/>
    <w:rsid w:val="00E35ACB"/>
    <w:rsid w:val="00E36A22"/>
    <w:rsid w:val="00E407E5"/>
    <w:rsid w:val="00E54012"/>
    <w:rsid w:val="00E63B3F"/>
    <w:rsid w:val="00E66ADA"/>
    <w:rsid w:val="00EB3EF0"/>
    <w:rsid w:val="00EE36B1"/>
    <w:rsid w:val="00F148C0"/>
    <w:rsid w:val="00F26DA9"/>
    <w:rsid w:val="00F2739C"/>
    <w:rsid w:val="00F36C80"/>
    <w:rsid w:val="00F52D4A"/>
    <w:rsid w:val="00F73D45"/>
    <w:rsid w:val="00F83284"/>
    <w:rsid w:val="00F836DD"/>
    <w:rsid w:val="00FD7B7F"/>
    <w:rsid w:val="00FF174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097BC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50D3D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6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kova@vutbr.cz" TargetMode="External"/><Relationship Id="rId3" Type="http://schemas.openxmlformats.org/officeDocument/2006/relationships/styles" Target="styles.xml"/><Relationship Id="rId7" Type="http://schemas.openxmlformats.org/officeDocument/2006/relationships/hyperlink" Target="mailto:dankovam@vutbr.cz%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gatova@vutbr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iodiversa.org/17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cr.cz/soutez/partnerstvi-pro-biodiverzitu/call-2021-5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DC6C0-E5CD-4D32-8CE4-E3C01C5D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Eva Vavrečková</cp:lastModifiedBy>
  <cp:revision>2</cp:revision>
  <dcterms:created xsi:type="dcterms:W3CDTF">2021-10-06T08:34:00Z</dcterms:created>
  <dcterms:modified xsi:type="dcterms:W3CDTF">2021-10-06T08:34:00Z</dcterms:modified>
</cp:coreProperties>
</file>